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226D6" w14:textId="3349ED5B" w:rsidR="003938FB" w:rsidRPr="00890330" w:rsidRDefault="003938FB" w:rsidP="004B6765">
      <w:pPr>
        <w:tabs>
          <w:tab w:val="right" w:pos="9639"/>
        </w:tabs>
        <w:spacing w:after="60"/>
        <w:jc w:val="both"/>
        <w:rPr>
          <w:rFonts w:ascii="Arial" w:eastAsia="MS Mincho" w:hAnsi="Arial" w:cs="Arial"/>
          <w:b/>
          <w:bCs/>
          <w:sz w:val="22"/>
          <w:szCs w:val="22"/>
        </w:rPr>
      </w:pPr>
      <w:r w:rsidRPr="00890330">
        <w:rPr>
          <w:rFonts w:ascii="Arial" w:hAnsi="Arial" w:cs="Arial"/>
          <w:b/>
          <w:bCs/>
          <w:sz w:val="22"/>
          <w:szCs w:val="22"/>
        </w:rPr>
        <w:t>3GPP TSG RAN#1</w:t>
      </w:r>
      <w:r w:rsidR="0070387E" w:rsidRPr="00890330">
        <w:rPr>
          <w:rFonts w:ascii="Arial" w:hAnsi="Arial" w:cs="Arial"/>
          <w:b/>
          <w:bCs/>
          <w:sz w:val="22"/>
          <w:szCs w:val="22"/>
        </w:rPr>
        <w:t>1</w:t>
      </w:r>
      <w:r w:rsidR="00CE7B9D" w:rsidRPr="00890330">
        <w:rPr>
          <w:rFonts w:ascii="Arial" w:hAnsi="Arial" w:cs="Arial"/>
          <w:b/>
          <w:bCs/>
          <w:sz w:val="22"/>
          <w:szCs w:val="22"/>
        </w:rPr>
        <w:t>0</w:t>
      </w:r>
      <w:r w:rsidRPr="00890330">
        <w:rPr>
          <w:rFonts w:ascii="Arial" w:hAnsi="Arial" w:cs="Arial"/>
          <w:b/>
          <w:bCs/>
          <w:sz w:val="22"/>
          <w:szCs w:val="22"/>
        </w:rPr>
        <w:t xml:space="preserve"> Meeting </w:t>
      </w:r>
      <w:r w:rsidRPr="00890330">
        <w:rPr>
          <w:rFonts w:ascii="Arial" w:hAnsi="Arial" w:cs="Arial"/>
          <w:sz w:val="22"/>
          <w:szCs w:val="22"/>
        </w:rPr>
        <w:tab/>
      </w:r>
      <w:r w:rsidRPr="00890330">
        <w:rPr>
          <w:rFonts w:ascii="Arial" w:hAnsi="Arial" w:cs="Arial"/>
          <w:b/>
          <w:bCs/>
          <w:sz w:val="22"/>
          <w:szCs w:val="22"/>
        </w:rPr>
        <w:t>RP-</w:t>
      </w:r>
      <w:r w:rsidR="00B65642" w:rsidRPr="00890330">
        <w:rPr>
          <w:rFonts w:ascii="Arial" w:hAnsi="Arial" w:cs="Arial"/>
          <w:b/>
          <w:bCs/>
          <w:sz w:val="22"/>
          <w:szCs w:val="22"/>
        </w:rPr>
        <w:t>253704</w:t>
      </w:r>
    </w:p>
    <w:p w14:paraId="75D8B216" w14:textId="7000E38E" w:rsidR="003938FB" w:rsidRPr="00890330" w:rsidRDefault="0070387E" w:rsidP="004B6765">
      <w:pPr>
        <w:jc w:val="both"/>
        <w:rPr>
          <w:rFonts w:ascii="Arial" w:hAnsi="Arial" w:cs="Arial"/>
          <w:bCs/>
          <w:i/>
          <w:sz w:val="22"/>
          <w:szCs w:val="22"/>
        </w:rPr>
      </w:pPr>
      <w:r w:rsidRPr="00890330">
        <w:rPr>
          <w:rFonts w:ascii="Arial" w:hAnsi="Arial" w:cs="Arial"/>
          <w:b/>
          <w:bCs/>
          <w:sz w:val="22"/>
          <w:szCs w:val="22"/>
        </w:rPr>
        <w:t>Baltimore, United States of America</w:t>
      </w:r>
      <w:r w:rsidR="003938FB" w:rsidRPr="00890330">
        <w:rPr>
          <w:rFonts w:ascii="Arial" w:hAnsi="Arial" w:cs="Arial"/>
          <w:b/>
          <w:bCs/>
          <w:sz w:val="22"/>
          <w:szCs w:val="22"/>
        </w:rPr>
        <w:t xml:space="preserve">, </w:t>
      </w:r>
      <w:r w:rsidRPr="00890330">
        <w:rPr>
          <w:rFonts w:ascii="Arial" w:hAnsi="Arial" w:cs="Arial"/>
          <w:b/>
          <w:bCs/>
          <w:sz w:val="22"/>
          <w:szCs w:val="22"/>
        </w:rPr>
        <w:t>Dec</w:t>
      </w:r>
      <w:r w:rsidR="003938FB" w:rsidRPr="00890330">
        <w:rPr>
          <w:rFonts w:ascii="Arial" w:hAnsi="Arial" w:cs="Arial"/>
          <w:b/>
          <w:bCs/>
          <w:sz w:val="22"/>
          <w:szCs w:val="22"/>
        </w:rPr>
        <w:t>ember</w:t>
      </w:r>
      <w:r w:rsidR="00CE7B9D" w:rsidRPr="00890330">
        <w:rPr>
          <w:rFonts w:ascii="Arial" w:hAnsi="Arial" w:cs="Arial"/>
          <w:b/>
          <w:bCs/>
          <w:sz w:val="22"/>
          <w:szCs w:val="22"/>
        </w:rPr>
        <w:t xml:space="preserve"> 8-11</w:t>
      </w:r>
      <w:r w:rsidR="003938FB" w:rsidRPr="00890330">
        <w:rPr>
          <w:rFonts w:ascii="Arial" w:hAnsi="Arial" w:cs="Arial"/>
          <w:b/>
          <w:bCs/>
          <w:sz w:val="22"/>
          <w:szCs w:val="22"/>
        </w:rPr>
        <w:t>, 2025</w:t>
      </w:r>
      <w:r w:rsidR="003938FB" w:rsidRPr="00890330">
        <w:rPr>
          <w:rFonts w:ascii="Arial" w:hAnsi="Arial" w:cs="Arial"/>
          <w:b/>
          <w:bCs/>
          <w:sz w:val="22"/>
          <w:szCs w:val="22"/>
        </w:rPr>
        <w:tab/>
      </w:r>
      <w:r w:rsidR="003938FB" w:rsidRPr="00890330">
        <w:rPr>
          <w:rFonts w:ascii="Arial" w:hAnsi="Arial" w:cs="Arial"/>
          <w:b/>
          <w:bCs/>
          <w:sz w:val="22"/>
          <w:szCs w:val="22"/>
        </w:rPr>
        <w:tab/>
      </w:r>
      <w:r w:rsidR="003938FB" w:rsidRPr="00890330">
        <w:rPr>
          <w:rFonts w:ascii="Arial" w:hAnsi="Arial" w:cs="Arial"/>
          <w:b/>
          <w:bCs/>
          <w:sz w:val="22"/>
          <w:szCs w:val="22"/>
        </w:rPr>
        <w:tab/>
      </w:r>
      <w:r w:rsidR="003938FB" w:rsidRPr="00890330">
        <w:rPr>
          <w:rFonts w:ascii="Arial" w:hAnsi="Arial" w:cs="Arial"/>
          <w:b/>
          <w:bCs/>
          <w:sz w:val="22"/>
          <w:szCs w:val="22"/>
        </w:rPr>
        <w:tab/>
      </w:r>
    </w:p>
    <w:p w14:paraId="0453DC49" w14:textId="77777777" w:rsidR="003938FB" w:rsidRPr="00890330" w:rsidRDefault="003938FB" w:rsidP="004B6765">
      <w:pPr>
        <w:tabs>
          <w:tab w:val="left" w:pos="1800"/>
        </w:tabs>
        <w:spacing w:after="60"/>
        <w:ind w:left="1800" w:hanging="1800"/>
        <w:jc w:val="both"/>
        <w:rPr>
          <w:rFonts w:ascii="Arial" w:hAnsi="Arial" w:cs="Arial"/>
          <w:b/>
          <w:bCs/>
          <w:color w:val="000000" w:themeColor="text1"/>
          <w:sz w:val="22"/>
          <w:szCs w:val="22"/>
        </w:rPr>
      </w:pPr>
    </w:p>
    <w:p w14:paraId="4E191356" w14:textId="49710E45" w:rsidR="003938FB" w:rsidRPr="00890330" w:rsidRDefault="003938FB" w:rsidP="004B6765">
      <w:pPr>
        <w:tabs>
          <w:tab w:val="left" w:pos="1800"/>
        </w:tabs>
        <w:spacing w:after="60"/>
        <w:ind w:left="1800" w:hanging="1800"/>
        <w:jc w:val="both"/>
        <w:rPr>
          <w:rFonts w:ascii="Arial" w:hAnsi="Arial" w:cs="Arial"/>
          <w:b/>
          <w:bCs/>
          <w:sz w:val="22"/>
          <w:szCs w:val="22"/>
        </w:rPr>
      </w:pPr>
      <w:r w:rsidRPr="00890330">
        <w:rPr>
          <w:rFonts w:ascii="Arial" w:hAnsi="Arial" w:cs="Arial"/>
          <w:b/>
          <w:bCs/>
          <w:color w:val="000000" w:themeColor="text1"/>
          <w:sz w:val="22"/>
          <w:szCs w:val="22"/>
        </w:rPr>
        <w:t>Title:</w:t>
      </w:r>
      <w:r w:rsidRPr="00890330">
        <w:rPr>
          <w:rFonts w:ascii="Arial" w:hAnsi="Arial" w:cs="Arial"/>
          <w:sz w:val="22"/>
          <w:szCs w:val="22"/>
        </w:rPr>
        <w:tab/>
      </w:r>
      <w:r w:rsidR="00B65642" w:rsidRPr="00890330">
        <w:rPr>
          <w:rFonts w:ascii="Arial" w:hAnsi="Arial" w:cs="Arial"/>
          <w:b/>
          <w:bCs/>
          <w:sz w:val="22"/>
          <w:szCs w:val="22"/>
        </w:rPr>
        <w:t>Observations on the status of</w:t>
      </w:r>
      <w:r w:rsidR="003F62E6" w:rsidRPr="00890330">
        <w:rPr>
          <w:rFonts w:ascii="Arial" w:hAnsi="Arial" w:cs="Arial"/>
          <w:b/>
          <w:bCs/>
          <w:sz w:val="22"/>
          <w:szCs w:val="22"/>
        </w:rPr>
        <w:t xml:space="preserve"> WRC-27 Agenda Item 1.13 Studies</w:t>
      </w:r>
    </w:p>
    <w:p w14:paraId="3307A129" w14:textId="23705B2A" w:rsidR="003938FB" w:rsidRPr="00890330" w:rsidRDefault="003938FB" w:rsidP="004B6765">
      <w:pPr>
        <w:tabs>
          <w:tab w:val="left" w:pos="1800"/>
        </w:tabs>
        <w:spacing w:after="60"/>
        <w:jc w:val="both"/>
        <w:rPr>
          <w:rFonts w:ascii="Arial" w:hAnsi="Arial" w:cs="Arial"/>
          <w:b/>
          <w:bCs/>
          <w:sz w:val="22"/>
          <w:szCs w:val="22"/>
        </w:rPr>
      </w:pPr>
      <w:r w:rsidRPr="00890330">
        <w:rPr>
          <w:rFonts w:ascii="Arial" w:hAnsi="Arial" w:cs="Arial"/>
          <w:b/>
          <w:bCs/>
          <w:sz w:val="22"/>
          <w:szCs w:val="22"/>
        </w:rPr>
        <w:t xml:space="preserve">Source: </w:t>
      </w:r>
      <w:r w:rsidRPr="00890330">
        <w:rPr>
          <w:rFonts w:ascii="Arial" w:hAnsi="Arial" w:cs="Arial"/>
          <w:sz w:val="22"/>
          <w:szCs w:val="22"/>
        </w:rPr>
        <w:tab/>
      </w:r>
      <w:r w:rsidR="00E7592A" w:rsidRPr="00890330">
        <w:rPr>
          <w:rFonts w:ascii="Arial" w:hAnsi="Arial" w:cs="Arial"/>
          <w:b/>
          <w:bCs/>
          <w:sz w:val="22"/>
          <w:szCs w:val="22"/>
        </w:rPr>
        <w:t>Sateliot</w:t>
      </w:r>
    </w:p>
    <w:p w14:paraId="46BE7058" w14:textId="454E8C59" w:rsidR="003938FB" w:rsidRPr="00890330" w:rsidRDefault="003938FB" w:rsidP="004B6765">
      <w:pPr>
        <w:tabs>
          <w:tab w:val="left" w:pos="1800"/>
        </w:tabs>
        <w:spacing w:after="60"/>
        <w:jc w:val="both"/>
        <w:rPr>
          <w:rFonts w:ascii="Arial" w:hAnsi="Arial" w:cs="Arial"/>
          <w:b/>
          <w:bCs/>
          <w:sz w:val="22"/>
          <w:szCs w:val="22"/>
        </w:rPr>
      </w:pPr>
      <w:r w:rsidRPr="00890330">
        <w:rPr>
          <w:rFonts w:ascii="Arial" w:hAnsi="Arial" w:cs="Arial"/>
          <w:b/>
          <w:bCs/>
          <w:sz w:val="22"/>
          <w:szCs w:val="22"/>
        </w:rPr>
        <w:t>Type:</w:t>
      </w:r>
      <w:r w:rsidRPr="00890330">
        <w:rPr>
          <w:rFonts w:ascii="Arial" w:hAnsi="Arial" w:cs="Arial"/>
          <w:sz w:val="22"/>
          <w:szCs w:val="22"/>
        </w:rPr>
        <w:tab/>
      </w:r>
      <w:r w:rsidR="00E33F64" w:rsidRPr="00890330">
        <w:rPr>
          <w:rFonts w:ascii="Arial" w:hAnsi="Arial" w:cs="Arial"/>
          <w:b/>
          <w:bCs/>
          <w:sz w:val="22"/>
          <w:szCs w:val="22"/>
        </w:rPr>
        <w:t>Discussion</w:t>
      </w:r>
    </w:p>
    <w:p w14:paraId="12E8C0A1" w14:textId="3B2556A7" w:rsidR="003938FB" w:rsidRPr="00890330" w:rsidRDefault="003938FB" w:rsidP="004B6765">
      <w:pPr>
        <w:tabs>
          <w:tab w:val="left" w:pos="1800"/>
        </w:tabs>
        <w:spacing w:after="60"/>
        <w:jc w:val="both"/>
        <w:rPr>
          <w:rFonts w:ascii="Arial" w:hAnsi="Arial" w:cs="Arial"/>
          <w:b/>
          <w:bCs/>
          <w:sz w:val="22"/>
          <w:szCs w:val="22"/>
        </w:rPr>
      </w:pPr>
      <w:r w:rsidRPr="00890330">
        <w:rPr>
          <w:rFonts w:ascii="Arial" w:hAnsi="Arial" w:cs="Arial"/>
          <w:b/>
          <w:bCs/>
          <w:sz w:val="22"/>
          <w:szCs w:val="22"/>
        </w:rPr>
        <w:t>Document for:</w:t>
      </w:r>
      <w:r w:rsidRPr="00890330">
        <w:rPr>
          <w:rFonts w:ascii="Arial" w:hAnsi="Arial" w:cs="Arial"/>
          <w:sz w:val="22"/>
          <w:szCs w:val="22"/>
        </w:rPr>
        <w:tab/>
      </w:r>
      <w:r w:rsidR="00E7592A" w:rsidRPr="00890330">
        <w:rPr>
          <w:rFonts w:ascii="Arial" w:hAnsi="Arial" w:cs="Arial"/>
          <w:b/>
          <w:bCs/>
          <w:sz w:val="22"/>
          <w:szCs w:val="22"/>
        </w:rPr>
        <w:t>Information</w:t>
      </w:r>
      <w:r w:rsidRPr="00890330">
        <w:rPr>
          <w:rFonts w:ascii="Arial" w:hAnsi="Arial" w:cs="Arial"/>
          <w:b/>
          <w:bCs/>
          <w:sz w:val="22"/>
          <w:szCs w:val="22"/>
        </w:rPr>
        <w:t xml:space="preserve"> </w:t>
      </w:r>
    </w:p>
    <w:p w14:paraId="227A1C69" w14:textId="322B55A0" w:rsidR="00BD45DF" w:rsidRPr="00890330" w:rsidRDefault="00BD45DF" w:rsidP="004B6765">
      <w:pPr>
        <w:tabs>
          <w:tab w:val="left" w:pos="1800"/>
        </w:tabs>
        <w:spacing w:after="60"/>
        <w:jc w:val="both"/>
        <w:rPr>
          <w:rFonts w:ascii="Arial" w:hAnsi="Arial" w:cs="Arial"/>
          <w:b/>
          <w:bCs/>
          <w:sz w:val="22"/>
          <w:szCs w:val="22"/>
        </w:rPr>
      </w:pPr>
      <w:r w:rsidRPr="00890330">
        <w:rPr>
          <w:rFonts w:ascii="Arial" w:hAnsi="Arial" w:cs="Arial"/>
          <w:b/>
          <w:bCs/>
          <w:sz w:val="22"/>
          <w:szCs w:val="22"/>
        </w:rPr>
        <w:t>Agenda Item:</w:t>
      </w:r>
      <w:r w:rsidRPr="00890330">
        <w:rPr>
          <w:rFonts w:ascii="Arial" w:hAnsi="Arial" w:cs="Arial"/>
          <w:b/>
          <w:bCs/>
          <w:sz w:val="22"/>
          <w:szCs w:val="22"/>
        </w:rPr>
        <w:tab/>
        <w:t>9.1.5</w:t>
      </w:r>
    </w:p>
    <w:p w14:paraId="171BC20F" w14:textId="4C90450F" w:rsidR="003938FB" w:rsidRPr="00A86804" w:rsidRDefault="003938FB" w:rsidP="004B6765">
      <w:pPr>
        <w:pStyle w:val="Heading1"/>
        <w:keepNext w:val="0"/>
        <w:keepLines w:val="0"/>
        <w:spacing w:before="600" w:after="160" w:line="360" w:lineRule="auto"/>
        <w:ind w:left="431" w:hanging="431"/>
        <w:contextualSpacing/>
        <w:jc w:val="both"/>
        <w:rPr>
          <w:rFonts w:ascii="Arial" w:hAnsi="Arial" w:cs="Arial"/>
          <w:color w:val="000000" w:themeColor="text1"/>
          <w:sz w:val="32"/>
          <w:szCs w:val="32"/>
        </w:rPr>
      </w:pPr>
      <w:r w:rsidRPr="00A86804">
        <w:rPr>
          <w:rFonts w:ascii="Arial" w:hAnsi="Arial" w:cs="Arial"/>
          <w:color w:val="000000" w:themeColor="text1"/>
          <w:sz w:val="32"/>
          <w:szCs w:val="32"/>
        </w:rPr>
        <w:t>1. Introduction</w:t>
      </w:r>
    </w:p>
    <w:p w14:paraId="3F14F313" w14:textId="4E02ED77" w:rsidR="00E7592A" w:rsidRPr="00A86804" w:rsidRDefault="00E7592A" w:rsidP="00E7592A">
      <w:pPr>
        <w:pStyle w:val="NormalWeb"/>
        <w:jc w:val="both"/>
        <w:rPr>
          <w:rFonts w:ascii="Arial" w:hAnsi="Arial" w:cs="Arial"/>
          <w:color w:val="000000"/>
          <w:sz w:val="22"/>
          <w:szCs w:val="22"/>
        </w:rPr>
      </w:pPr>
      <w:r w:rsidRPr="00A86804">
        <w:rPr>
          <w:rFonts w:ascii="Arial" w:hAnsi="Arial" w:cs="Arial"/>
          <w:color w:val="000000"/>
          <w:sz w:val="22"/>
          <w:szCs w:val="22"/>
        </w:rPr>
        <w:t xml:space="preserve">Sateliot thanks the proponents of RP-251803 </w:t>
      </w:r>
      <w:r w:rsidR="00CE7B9D">
        <w:rPr>
          <w:rFonts w:ascii="Arial" w:hAnsi="Arial" w:cs="Arial"/>
          <w:color w:val="000000"/>
          <w:sz w:val="22"/>
          <w:szCs w:val="22"/>
        </w:rPr>
        <w:t xml:space="preserve">at RAN#108 </w:t>
      </w:r>
      <w:r w:rsidRPr="00A86804">
        <w:rPr>
          <w:rFonts w:ascii="Arial" w:hAnsi="Arial" w:cs="Arial"/>
          <w:color w:val="000000"/>
          <w:sz w:val="22"/>
          <w:szCs w:val="22"/>
        </w:rPr>
        <w:t>for initiating a useful discussion on potential NR-NTN operations in Mobile Service (MS) allocations. Given the relevance of these frequency bands to both terrestrial IMT and satellite systems, Sateliot wishes to provide contextual information on the ongoing ITU-R studies under WRC-27 Agenda Item 1.13, which are currently being developed within ITU-R Study Group 4 (Working Party 4C). These ITU-R activities are examining possible new or modified MSS allocations (</w:t>
      </w:r>
      <w:r w:rsidR="00C21592">
        <w:rPr>
          <w:rFonts w:ascii="Arial" w:hAnsi="Arial" w:cs="Arial"/>
          <w:color w:val="000000"/>
          <w:sz w:val="22"/>
          <w:szCs w:val="22"/>
        </w:rPr>
        <w:t xml:space="preserve">operating </w:t>
      </w:r>
      <w:r w:rsidRPr="00A86804">
        <w:rPr>
          <w:rFonts w:ascii="Arial" w:hAnsi="Arial" w:cs="Arial"/>
          <w:color w:val="000000"/>
          <w:sz w:val="22"/>
          <w:szCs w:val="22"/>
        </w:rPr>
        <w:t>secondary to terre</w:t>
      </w:r>
      <w:r w:rsidR="00EA4596" w:rsidRPr="00A86804">
        <w:rPr>
          <w:rFonts w:ascii="Arial" w:hAnsi="Arial" w:cs="Arial"/>
          <w:color w:val="000000"/>
          <w:sz w:val="22"/>
          <w:szCs w:val="22"/>
        </w:rPr>
        <w:t>s</w:t>
      </w:r>
      <w:r w:rsidRPr="00A86804">
        <w:rPr>
          <w:rFonts w:ascii="Arial" w:hAnsi="Arial" w:cs="Arial"/>
          <w:color w:val="000000"/>
          <w:sz w:val="22"/>
          <w:szCs w:val="22"/>
        </w:rPr>
        <w:t>trial IMT</w:t>
      </w:r>
      <w:r w:rsidR="00C21592">
        <w:rPr>
          <w:rFonts w:ascii="Arial" w:hAnsi="Arial" w:cs="Arial"/>
          <w:color w:val="000000"/>
          <w:sz w:val="22"/>
          <w:szCs w:val="22"/>
        </w:rPr>
        <w:t>/MS</w:t>
      </w:r>
      <w:r w:rsidRPr="00A86804">
        <w:rPr>
          <w:rFonts w:ascii="Arial" w:hAnsi="Arial" w:cs="Arial"/>
          <w:color w:val="000000"/>
          <w:sz w:val="22"/>
          <w:szCs w:val="22"/>
        </w:rPr>
        <w:t xml:space="preserve">), coexistence conditions between satellite and IMT user equipment, and the regulatory framework required for any future direct-to-device. The latter is now defined as Direct Connectivity </w:t>
      </w:r>
      <w:r w:rsidR="00A86804" w:rsidRPr="00A86804">
        <w:rPr>
          <w:rFonts w:ascii="Arial" w:hAnsi="Arial" w:cs="Arial"/>
          <w:color w:val="000000"/>
          <w:sz w:val="22"/>
          <w:szCs w:val="22"/>
        </w:rPr>
        <w:t>from MSS to</w:t>
      </w:r>
      <w:r w:rsidRPr="00A86804">
        <w:rPr>
          <w:rFonts w:ascii="Arial" w:hAnsi="Arial" w:cs="Arial"/>
          <w:color w:val="000000"/>
          <w:sz w:val="22"/>
          <w:szCs w:val="22"/>
        </w:rPr>
        <w:t xml:space="preserve"> IMT </w:t>
      </w:r>
      <w:r w:rsidR="00A86804" w:rsidRPr="00A86804">
        <w:rPr>
          <w:rFonts w:ascii="Arial" w:hAnsi="Arial" w:cs="Arial"/>
          <w:color w:val="000000"/>
          <w:sz w:val="22"/>
          <w:szCs w:val="22"/>
        </w:rPr>
        <w:t>UE</w:t>
      </w:r>
      <w:r w:rsidRPr="00A86804">
        <w:rPr>
          <w:rFonts w:ascii="Arial" w:hAnsi="Arial" w:cs="Arial"/>
          <w:color w:val="000000"/>
          <w:sz w:val="22"/>
          <w:szCs w:val="22"/>
        </w:rPr>
        <w:t xml:space="preserve"> (DC-</w:t>
      </w:r>
      <w:r w:rsidR="00A86804" w:rsidRPr="00A86804">
        <w:rPr>
          <w:rFonts w:ascii="Arial" w:hAnsi="Arial" w:cs="Arial"/>
          <w:color w:val="000000"/>
          <w:sz w:val="22"/>
          <w:szCs w:val="22"/>
        </w:rPr>
        <w:t>MSS</w:t>
      </w:r>
      <w:r w:rsidRPr="00A86804">
        <w:rPr>
          <w:rFonts w:ascii="Arial" w:hAnsi="Arial" w:cs="Arial"/>
          <w:color w:val="000000"/>
          <w:sz w:val="22"/>
          <w:szCs w:val="22"/>
        </w:rPr>
        <w:t>-</w:t>
      </w:r>
      <w:r w:rsidR="00A86804" w:rsidRPr="00A86804">
        <w:rPr>
          <w:rFonts w:ascii="Arial" w:hAnsi="Arial" w:cs="Arial"/>
          <w:color w:val="000000"/>
          <w:sz w:val="22"/>
          <w:szCs w:val="22"/>
        </w:rPr>
        <w:t>IMT</w:t>
      </w:r>
      <w:r w:rsidRPr="00A86804">
        <w:rPr>
          <w:rFonts w:ascii="Arial" w:hAnsi="Arial" w:cs="Arial"/>
          <w:color w:val="000000"/>
          <w:sz w:val="22"/>
          <w:szCs w:val="22"/>
        </w:rPr>
        <w:t>) in ITU-R nomenclature.</w:t>
      </w:r>
    </w:p>
    <w:p w14:paraId="21BDF433" w14:textId="21DF79EB" w:rsidR="00E7592A" w:rsidRPr="00E7592A" w:rsidRDefault="00E7592A" w:rsidP="00E7592A">
      <w:pPr>
        <w:pStyle w:val="NormalWeb"/>
        <w:jc w:val="both"/>
        <w:rPr>
          <w:rFonts w:ascii="Arial" w:hAnsi="Arial" w:cs="Arial"/>
          <w:color w:val="000000"/>
          <w:sz w:val="22"/>
          <w:szCs w:val="22"/>
        </w:rPr>
      </w:pPr>
      <w:r w:rsidRPr="00E7592A">
        <w:rPr>
          <w:rFonts w:ascii="Arial" w:hAnsi="Arial" w:cs="Arial"/>
          <w:color w:val="000000"/>
          <w:sz w:val="22"/>
          <w:szCs w:val="22"/>
        </w:rPr>
        <w:t xml:space="preserve">In this context, Sateliot considers it important to ensure that </w:t>
      </w:r>
      <w:r w:rsidRPr="00A86804">
        <w:rPr>
          <w:rFonts w:ascii="Arial" w:hAnsi="Arial" w:cs="Arial"/>
          <w:color w:val="000000"/>
          <w:sz w:val="22"/>
          <w:szCs w:val="22"/>
        </w:rPr>
        <w:t xml:space="preserve">this proposal for an </w:t>
      </w:r>
      <w:r w:rsidRPr="00E7592A">
        <w:rPr>
          <w:rFonts w:ascii="Arial" w:hAnsi="Arial" w:cs="Arial"/>
          <w:color w:val="000000"/>
          <w:sz w:val="22"/>
          <w:szCs w:val="22"/>
        </w:rPr>
        <w:t xml:space="preserve">3GPP </w:t>
      </w:r>
      <w:r w:rsidRPr="00A86804">
        <w:rPr>
          <w:rFonts w:ascii="Arial" w:hAnsi="Arial" w:cs="Arial"/>
          <w:color w:val="000000"/>
          <w:sz w:val="22"/>
          <w:szCs w:val="22"/>
        </w:rPr>
        <w:t xml:space="preserve">scope of </w:t>
      </w:r>
      <w:r w:rsidRPr="00E7592A">
        <w:rPr>
          <w:rFonts w:ascii="Arial" w:hAnsi="Arial" w:cs="Arial"/>
          <w:color w:val="000000"/>
          <w:sz w:val="22"/>
          <w:szCs w:val="22"/>
        </w:rPr>
        <w:t xml:space="preserve">work remains aligned with the regulatory processes already underway in ITU-R, and to avoid conducting parallel or divergent technical studies that may not be consistent with the eventual WRC-27 outcomes. The timing and scope of NR-NTN work in </w:t>
      </w:r>
      <w:r w:rsidR="00CE7B9D">
        <w:rPr>
          <w:rFonts w:ascii="Arial" w:hAnsi="Arial" w:cs="Arial"/>
          <w:color w:val="000000"/>
          <w:sz w:val="22"/>
          <w:szCs w:val="22"/>
        </w:rPr>
        <w:t>MS</w:t>
      </w:r>
      <w:r w:rsidRPr="00E7592A">
        <w:rPr>
          <w:rFonts w:ascii="Arial" w:hAnsi="Arial" w:cs="Arial"/>
          <w:color w:val="000000"/>
          <w:sz w:val="22"/>
          <w:szCs w:val="22"/>
        </w:rPr>
        <w:t xml:space="preserve"> bands should therefore </w:t>
      </w:r>
      <w:r w:rsidR="00EA4596" w:rsidRPr="00A86804">
        <w:rPr>
          <w:rFonts w:ascii="Arial" w:hAnsi="Arial" w:cs="Arial"/>
          <w:color w:val="000000"/>
          <w:sz w:val="22"/>
          <w:szCs w:val="22"/>
        </w:rPr>
        <w:t>consider</w:t>
      </w:r>
      <w:r w:rsidRPr="00E7592A">
        <w:rPr>
          <w:rFonts w:ascii="Arial" w:hAnsi="Arial" w:cs="Arial"/>
          <w:color w:val="000000"/>
          <w:sz w:val="22"/>
          <w:szCs w:val="22"/>
        </w:rPr>
        <w:t xml:space="preserve"> that ITU-R will define the internationally harmonised regulatory conditions that govern satellite operation in these bands</w:t>
      </w:r>
      <w:r w:rsidR="00C21592">
        <w:rPr>
          <w:rFonts w:ascii="Arial" w:hAnsi="Arial" w:cs="Arial"/>
          <w:color w:val="000000"/>
          <w:sz w:val="22"/>
          <w:szCs w:val="22"/>
        </w:rPr>
        <w:t xml:space="preserve"> within 24 months.</w:t>
      </w:r>
    </w:p>
    <w:p w14:paraId="7E9B7AB9" w14:textId="782FCA8E" w:rsidR="0070387E" w:rsidRPr="00A86804" w:rsidRDefault="00E7592A" w:rsidP="004B6765">
      <w:pPr>
        <w:pStyle w:val="NormalWeb"/>
        <w:jc w:val="both"/>
        <w:rPr>
          <w:rFonts w:ascii="Arial" w:hAnsi="Arial" w:cs="Arial"/>
          <w:color w:val="000000"/>
          <w:sz w:val="22"/>
          <w:szCs w:val="22"/>
        </w:rPr>
      </w:pPr>
      <w:r w:rsidRPr="00E7592A">
        <w:rPr>
          <w:rFonts w:ascii="Arial" w:hAnsi="Arial" w:cs="Arial"/>
          <w:color w:val="000000"/>
          <w:sz w:val="22"/>
          <w:szCs w:val="22"/>
        </w:rPr>
        <w:t xml:space="preserve">Sateliot also notes the proposal in RP-252932 </w:t>
      </w:r>
      <w:r w:rsidR="00CE7B9D">
        <w:rPr>
          <w:rFonts w:ascii="Arial" w:hAnsi="Arial" w:cs="Arial"/>
          <w:color w:val="000000"/>
          <w:sz w:val="22"/>
          <w:szCs w:val="22"/>
        </w:rPr>
        <w:t xml:space="preserve">at RAN#109 </w:t>
      </w:r>
      <w:r w:rsidRPr="00E7592A">
        <w:rPr>
          <w:rFonts w:ascii="Arial" w:hAnsi="Arial" w:cs="Arial"/>
          <w:color w:val="000000"/>
          <w:sz w:val="22"/>
          <w:szCs w:val="22"/>
        </w:rPr>
        <w:t>for defining a single-country NR-NTN operating configuration in Band n7, and highlights that satellite use of adjacent MSS allocations in parts of Region 3 is subject to long-standing power flux-density</w:t>
      </w:r>
      <w:r w:rsidRPr="00A86804">
        <w:rPr>
          <w:rFonts w:ascii="Arial" w:hAnsi="Arial" w:cs="Arial"/>
          <w:color w:val="000000"/>
          <w:sz w:val="22"/>
          <w:szCs w:val="22"/>
        </w:rPr>
        <w:t xml:space="preserve"> (PFD)</w:t>
      </w:r>
      <w:r w:rsidRPr="00E7592A">
        <w:rPr>
          <w:rFonts w:ascii="Arial" w:hAnsi="Arial" w:cs="Arial"/>
          <w:color w:val="000000"/>
          <w:sz w:val="22"/>
          <w:szCs w:val="22"/>
        </w:rPr>
        <w:t xml:space="preserve"> and out-of-band emission</w:t>
      </w:r>
      <w:r w:rsidRPr="00A86804">
        <w:rPr>
          <w:rFonts w:ascii="Arial" w:hAnsi="Arial" w:cs="Arial"/>
          <w:color w:val="000000"/>
          <w:sz w:val="22"/>
          <w:szCs w:val="22"/>
        </w:rPr>
        <w:t xml:space="preserve"> (OOBE)</w:t>
      </w:r>
      <w:r w:rsidRPr="00E7592A">
        <w:rPr>
          <w:rFonts w:ascii="Arial" w:hAnsi="Arial" w:cs="Arial"/>
          <w:color w:val="000000"/>
          <w:sz w:val="22"/>
          <w:szCs w:val="22"/>
        </w:rPr>
        <w:t xml:space="preserve"> limits under ITU RR Article 21. These constraints, together with the need to ensure competitive neutrality between systems bound by ITU-R obligations and those operating under national </w:t>
      </w:r>
      <w:r w:rsidR="00CE7B9D">
        <w:rPr>
          <w:rFonts w:ascii="Arial" w:hAnsi="Arial" w:cs="Arial"/>
          <w:color w:val="000000"/>
          <w:sz w:val="22"/>
          <w:szCs w:val="22"/>
        </w:rPr>
        <w:t>MS</w:t>
      </w:r>
      <w:r w:rsidRPr="00E7592A">
        <w:rPr>
          <w:rFonts w:ascii="Arial" w:hAnsi="Arial" w:cs="Arial"/>
          <w:color w:val="000000"/>
          <w:sz w:val="22"/>
          <w:szCs w:val="22"/>
        </w:rPr>
        <w:t xml:space="preserve"> rules, further reinforce the importance of relying on the WRC-27 AI 1.13 study cycle as the appropriate venue for determining future satellite use of </w:t>
      </w:r>
      <w:r w:rsidR="00CE7B9D">
        <w:rPr>
          <w:rFonts w:ascii="Arial" w:hAnsi="Arial" w:cs="Arial"/>
          <w:color w:val="000000"/>
          <w:sz w:val="22"/>
          <w:szCs w:val="22"/>
        </w:rPr>
        <w:t>MS</w:t>
      </w:r>
      <w:r w:rsidRPr="00E7592A">
        <w:rPr>
          <w:rFonts w:ascii="Arial" w:hAnsi="Arial" w:cs="Arial"/>
          <w:color w:val="000000"/>
          <w:sz w:val="22"/>
          <w:szCs w:val="22"/>
        </w:rPr>
        <w:t xml:space="preserve"> bands</w:t>
      </w:r>
      <w:r w:rsidRPr="00A86804">
        <w:rPr>
          <w:rFonts w:ascii="Arial" w:hAnsi="Arial" w:cs="Arial"/>
          <w:color w:val="000000"/>
          <w:sz w:val="22"/>
          <w:szCs w:val="22"/>
        </w:rPr>
        <w:t xml:space="preserve"> today.</w:t>
      </w:r>
    </w:p>
    <w:p w14:paraId="72DA3A76" w14:textId="77777777" w:rsidR="003938FB" w:rsidRPr="00A86804" w:rsidRDefault="003938FB" w:rsidP="004B6765">
      <w:pPr>
        <w:pStyle w:val="Heading1"/>
        <w:keepNext w:val="0"/>
        <w:keepLines w:val="0"/>
        <w:spacing w:before="600" w:after="160" w:line="360" w:lineRule="auto"/>
        <w:ind w:left="431" w:hanging="431"/>
        <w:contextualSpacing/>
        <w:jc w:val="both"/>
        <w:rPr>
          <w:rFonts w:ascii="Arial" w:hAnsi="Arial" w:cs="Arial"/>
          <w:color w:val="000000" w:themeColor="text1"/>
          <w:sz w:val="32"/>
          <w:szCs w:val="32"/>
        </w:rPr>
      </w:pPr>
      <w:r w:rsidRPr="00A86804">
        <w:rPr>
          <w:rFonts w:ascii="Arial" w:hAnsi="Arial" w:cs="Arial"/>
          <w:color w:val="000000" w:themeColor="text1"/>
          <w:sz w:val="32"/>
          <w:szCs w:val="32"/>
        </w:rPr>
        <w:t>2. Discussion</w:t>
      </w:r>
    </w:p>
    <w:p w14:paraId="12034B87" w14:textId="5660C0CD" w:rsidR="00E7592A" w:rsidRPr="00A86804" w:rsidRDefault="00E7592A" w:rsidP="00717A4E">
      <w:pPr>
        <w:spacing w:line="240" w:lineRule="auto"/>
        <w:jc w:val="both"/>
        <w:rPr>
          <w:rFonts w:ascii="Arial" w:hAnsi="Arial" w:cs="Arial"/>
          <w:sz w:val="22"/>
          <w:szCs w:val="22"/>
        </w:rPr>
      </w:pPr>
      <w:r w:rsidRPr="00A86804">
        <w:rPr>
          <w:rFonts w:ascii="Arial" w:hAnsi="Arial" w:cs="Arial"/>
          <w:sz w:val="22"/>
          <w:szCs w:val="22"/>
        </w:rPr>
        <w:t xml:space="preserve">During the discussions arising from RP-251803 at RAN#108 and the follow-up exchanges at RAN#109, a wide range of observations were made by participating companies. Several participants noted that introducing new NR-NTN operating configurations in </w:t>
      </w:r>
      <w:r w:rsidR="00CE7B9D">
        <w:rPr>
          <w:rFonts w:ascii="Arial" w:hAnsi="Arial" w:cs="Arial"/>
          <w:sz w:val="22"/>
          <w:szCs w:val="22"/>
        </w:rPr>
        <w:t>MS</w:t>
      </w:r>
      <w:r w:rsidRPr="00A86804">
        <w:rPr>
          <w:rFonts w:ascii="Arial" w:hAnsi="Arial" w:cs="Arial"/>
          <w:sz w:val="22"/>
          <w:szCs w:val="22"/>
        </w:rPr>
        <w:t xml:space="preserve"> allocations may be complex in jurisdictions where such use is not yet authorised, and where internationally harmonised regulatory guidance is still under development. Others highlighted that any potential new use of these bands would require careful examination of coexistence </w:t>
      </w:r>
      <w:r w:rsidRPr="00A86804">
        <w:rPr>
          <w:rFonts w:ascii="Arial" w:hAnsi="Arial" w:cs="Arial"/>
          <w:sz w:val="22"/>
          <w:szCs w:val="22"/>
        </w:rPr>
        <w:lastRenderedPageBreak/>
        <w:t>conditions to ensure that incumbent services (particularly those operating under MSS allocations) are not adversely affected.</w:t>
      </w:r>
    </w:p>
    <w:p w14:paraId="23753311" w14:textId="77777777" w:rsidR="00E7592A" w:rsidRPr="00E7592A" w:rsidRDefault="00E7592A" w:rsidP="00717A4E">
      <w:pPr>
        <w:spacing w:line="240" w:lineRule="auto"/>
        <w:jc w:val="both"/>
        <w:rPr>
          <w:rFonts w:ascii="Arial" w:hAnsi="Arial" w:cs="Arial"/>
          <w:sz w:val="22"/>
          <w:szCs w:val="22"/>
        </w:rPr>
      </w:pPr>
      <w:r w:rsidRPr="00E7592A">
        <w:rPr>
          <w:rFonts w:ascii="Arial" w:hAnsi="Arial" w:cs="Arial"/>
          <w:sz w:val="22"/>
          <w:szCs w:val="22"/>
        </w:rPr>
        <w:t>Delegations also noted the close relationship between this topic and the work underway in ITU-R for WRC-27, emphasising the importance of taking regional and international regulatory frameworks into account when scoping NTN activities in 3GPP. In earlier meetings, some parties expressed concern regarding terminology and the potential for confusion between NTN and terrestrial operation, while others pointed to existing proprietary “direct-to-device” deployments in MSS-allocated bands as evidence of emerging market interest in standardised solutions. It was also observed that certain proponents are planning to deploy services in MSS bands in specific countries, including Australia, which further highlights the need for clarity around the regulatory environment governing such operations.</w:t>
      </w:r>
    </w:p>
    <w:p w14:paraId="3901A4AC" w14:textId="58D16BF0" w:rsidR="003938FB" w:rsidRPr="00A86804" w:rsidRDefault="00E7592A" w:rsidP="00717A4E">
      <w:pPr>
        <w:spacing w:line="240" w:lineRule="auto"/>
        <w:jc w:val="both"/>
        <w:rPr>
          <w:rFonts w:ascii="Arial" w:hAnsi="Arial" w:cs="Arial"/>
          <w:sz w:val="22"/>
          <w:szCs w:val="22"/>
        </w:rPr>
      </w:pPr>
      <w:r w:rsidRPr="00E7592A">
        <w:rPr>
          <w:rFonts w:ascii="Arial" w:hAnsi="Arial" w:cs="Arial"/>
          <w:sz w:val="22"/>
          <w:szCs w:val="22"/>
        </w:rPr>
        <w:t>At RAN#10</w:t>
      </w:r>
      <w:r w:rsidR="00CE7B9D">
        <w:rPr>
          <w:rFonts w:ascii="Arial" w:hAnsi="Arial" w:cs="Arial"/>
          <w:sz w:val="22"/>
          <w:szCs w:val="22"/>
        </w:rPr>
        <w:t>9</w:t>
      </w:r>
      <w:r w:rsidRPr="00E7592A">
        <w:rPr>
          <w:rFonts w:ascii="Arial" w:hAnsi="Arial" w:cs="Arial"/>
          <w:sz w:val="22"/>
          <w:szCs w:val="22"/>
        </w:rPr>
        <w:t>, a significant number of companies expressed reservations regarding the initiation of a WID at this stage, indicating that additional alignment and deeper study would be beneficial before commencing normative work. The RAN Chair has also noted that although no WID has been established, proponents gained a clear understanding of the types of considerations that would arise should such work proceed.</w:t>
      </w:r>
    </w:p>
    <w:p w14:paraId="0F17323B" w14:textId="77777777" w:rsidR="003938FB" w:rsidRPr="00A86804" w:rsidRDefault="003938FB" w:rsidP="004B6765">
      <w:pPr>
        <w:jc w:val="both"/>
        <w:rPr>
          <w:rFonts w:ascii="Arial" w:hAnsi="Arial" w:cs="Arial"/>
          <w:b/>
          <w:bCs/>
          <w:sz w:val="22"/>
          <w:szCs w:val="22"/>
        </w:rPr>
      </w:pPr>
      <w:r w:rsidRPr="00A86804">
        <w:rPr>
          <w:rFonts w:ascii="Arial" w:hAnsi="Arial" w:cs="Arial"/>
          <w:b/>
          <w:bCs/>
          <w:sz w:val="22"/>
          <w:szCs w:val="22"/>
        </w:rPr>
        <w:t>2.1 Regulatory context</w:t>
      </w:r>
    </w:p>
    <w:p w14:paraId="065DADB2" w14:textId="01072563" w:rsidR="004945E5" w:rsidRPr="004945E5" w:rsidRDefault="004945E5" w:rsidP="00890330">
      <w:pPr>
        <w:spacing w:line="240" w:lineRule="auto"/>
        <w:rPr>
          <w:rFonts w:ascii="Arial" w:hAnsi="Arial" w:cs="Arial"/>
          <w:sz w:val="22"/>
          <w:szCs w:val="22"/>
        </w:rPr>
      </w:pPr>
      <w:r w:rsidRPr="004945E5">
        <w:rPr>
          <w:rFonts w:ascii="Arial" w:hAnsi="Arial" w:cs="Arial"/>
          <w:sz w:val="22"/>
          <w:szCs w:val="22"/>
        </w:rPr>
        <w:t>The issue of satellite use within Mobile Service (MS) allocations is currently being examined in detail within the ITU-R study cycle established under WRC-27 Agenda Item 1.13 (Resolution 253 (WRC-23)). This agenda item tasks ITU-R Study Group 4 and Working Party 4C with assessing possible new or modified MSS allocations, the conditions for direct connectivity between space stations and IMT user equipment</w:t>
      </w:r>
      <w:r w:rsidRPr="00A86804">
        <w:rPr>
          <w:rFonts w:ascii="Arial" w:hAnsi="Arial" w:cs="Arial"/>
          <w:sz w:val="22"/>
          <w:szCs w:val="22"/>
        </w:rPr>
        <w:t xml:space="preserve"> (DC</w:t>
      </w:r>
      <w:r w:rsidR="00A86804" w:rsidRPr="00A86804">
        <w:rPr>
          <w:rFonts w:ascii="Arial" w:hAnsi="Arial" w:cs="Arial"/>
          <w:sz w:val="22"/>
          <w:szCs w:val="22"/>
        </w:rPr>
        <w:t xml:space="preserve"> </w:t>
      </w:r>
      <w:r w:rsidRPr="00A86804">
        <w:rPr>
          <w:rFonts w:ascii="Arial" w:hAnsi="Arial" w:cs="Arial"/>
          <w:sz w:val="22"/>
          <w:szCs w:val="22"/>
        </w:rPr>
        <w:t>-MSS</w:t>
      </w:r>
      <w:r w:rsidR="00A86804" w:rsidRPr="00A86804">
        <w:rPr>
          <w:rFonts w:ascii="Arial" w:hAnsi="Arial" w:cs="Arial"/>
          <w:sz w:val="22"/>
          <w:szCs w:val="22"/>
        </w:rPr>
        <w:t>-IMT</w:t>
      </w:r>
      <w:r w:rsidRPr="00A86804">
        <w:rPr>
          <w:rFonts w:ascii="Arial" w:hAnsi="Arial" w:cs="Arial"/>
          <w:sz w:val="22"/>
          <w:szCs w:val="22"/>
        </w:rPr>
        <w:t>)</w:t>
      </w:r>
      <w:r w:rsidRPr="004945E5">
        <w:rPr>
          <w:rFonts w:ascii="Arial" w:hAnsi="Arial" w:cs="Arial"/>
          <w:sz w:val="22"/>
          <w:szCs w:val="22"/>
        </w:rPr>
        <w:t xml:space="preserve">, and the regulatory and technical framework required to support such use cases. These studies form the basis for any potential international decisions at WRC-27 concerning </w:t>
      </w:r>
      <w:r w:rsidRPr="00A86804">
        <w:rPr>
          <w:rFonts w:ascii="Arial" w:hAnsi="Arial" w:cs="Arial"/>
          <w:sz w:val="22"/>
          <w:szCs w:val="22"/>
        </w:rPr>
        <w:t>secondary MSS</w:t>
      </w:r>
      <w:r w:rsidRPr="004945E5">
        <w:rPr>
          <w:rFonts w:ascii="Arial" w:hAnsi="Arial" w:cs="Arial"/>
          <w:sz w:val="22"/>
          <w:szCs w:val="22"/>
        </w:rPr>
        <w:t xml:space="preserve"> operation in MS bands.</w:t>
      </w:r>
    </w:p>
    <w:p w14:paraId="52DD3684" w14:textId="12798EB9" w:rsidR="004945E5" w:rsidRPr="004945E5" w:rsidRDefault="004945E5" w:rsidP="00890330">
      <w:pPr>
        <w:spacing w:line="240" w:lineRule="auto"/>
        <w:rPr>
          <w:rFonts w:ascii="Arial" w:hAnsi="Arial" w:cs="Arial"/>
          <w:sz w:val="22"/>
          <w:szCs w:val="22"/>
          <w:u w:val="single"/>
        </w:rPr>
      </w:pPr>
      <w:r w:rsidRPr="004945E5">
        <w:rPr>
          <w:rFonts w:ascii="Arial" w:hAnsi="Arial" w:cs="Arial"/>
          <w:sz w:val="22"/>
          <w:szCs w:val="22"/>
          <w:u w:val="single"/>
        </w:rPr>
        <w:t>In this context, the following points</w:t>
      </w:r>
      <w:r w:rsidRPr="00A86804">
        <w:rPr>
          <w:rFonts w:ascii="Arial" w:hAnsi="Arial" w:cs="Arial"/>
          <w:sz w:val="22"/>
          <w:szCs w:val="22"/>
          <w:u w:val="single"/>
        </w:rPr>
        <w:t xml:space="preserve"> are of relevance</w:t>
      </w:r>
      <w:r w:rsidRPr="004945E5">
        <w:rPr>
          <w:rFonts w:ascii="Arial" w:hAnsi="Arial" w:cs="Arial"/>
          <w:sz w:val="22"/>
          <w:szCs w:val="22"/>
          <w:u w:val="single"/>
        </w:rPr>
        <w:t>:</w:t>
      </w:r>
    </w:p>
    <w:p w14:paraId="0B815048" w14:textId="77777777" w:rsidR="004945E5" w:rsidRPr="004945E5" w:rsidRDefault="004945E5" w:rsidP="00890330">
      <w:pPr>
        <w:spacing w:line="240" w:lineRule="auto"/>
        <w:ind w:left="720"/>
        <w:rPr>
          <w:rFonts w:ascii="Arial" w:hAnsi="Arial" w:cs="Arial"/>
          <w:sz w:val="22"/>
          <w:szCs w:val="22"/>
        </w:rPr>
      </w:pPr>
      <w:r w:rsidRPr="004945E5">
        <w:rPr>
          <w:rFonts w:ascii="Arial" w:hAnsi="Arial" w:cs="Arial"/>
          <w:sz w:val="22"/>
          <w:szCs w:val="22"/>
        </w:rPr>
        <w:t>a. There is clear industry interest in exploring NR-NTN use of MS bands, particularly for emerging D2D, NTN-IoT, and supplemental coverage from space. These use cases highlight the long-term potential for satellite and terrestrial IMT systems to operate in a complementary manner, subject to appropriate regulatory conditions.</w:t>
      </w:r>
    </w:p>
    <w:p w14:paraId="7AF183F7" w14:textId="77777777" w:rsidR="004945E5" w:rsidRPr="004945E5" w:rsidRDefault="004945E5" w:rsidP="00890330">
      <w:pPr>
        <w:spacing w:line="240" w:lineRule="auto"/>
        <w:ind w:left="720"/>
        <w:rPr>
          <w:rFonts w:ascii="Arial" w:hAnsi="Arial" w:cs="Arial"/>
          <w:sz w:val="22"/>
          <w:szCs w:val="22"/>
        </w:rPr>
      </w:pPr>
      <w:r w:rsidRPr="004945E5">
        <w:rPr>
          <w:rFonts w:ascii="Arial" w:hAnsi="Arial" w:cs="Arial"/>
          <w:sz w:val="22"/>
          <w:szCs w:val="22"/>
        </w:rPr>
        <w:t>b. Several regulatory, coexistence, and cross-border issues raised during previous RAN meetings remain unresolved. These include the relationship with existing MSS allocations, compatibility with adjacent-band IMT systems, variations in national UL/DL arrangements, and scenarios where MSS directionality differs from potential NTN configurations proposed for MS bands.</w:t>
      </w:r>
    </w:p>
    <w:p w14:paraId="1E608235" w14:textId="77777777" w:rsidR="004945E5" w:rsidRPr="004945E5" w:rsidRDefault="004945E5" w:rsidP="00890330">
      <w:pPr>
        <w:spacing w:line="240" w:lineRule="auto"/>
        <w:ind w:left="720"/>
        <w:rPr>
          <w:rFonts w:ascii="Arial" w:hAnsi="Arial" w:cs="Arial"/>
          <w:sz w:val="22"/>
          <w:szCs w:val="22"/>
        </w:rPr>
      </w:pPr>
      <w:r w:rsidRPr="004945E5">
        <w:rPr>
          <w:rFonts w:ascii="Arial" w:hAnsi="Arial" w:cs="Arial"/>
          <w:sz w:val="22"/>
          <w:szCs w:val="22"/>
        </w:rPr>
        <w:t>c. All bands currently mentioned in RAN discussions (n25, n7, n1) fall directly within the scope of the ITU-R studies mandated under Agenda Item 1.13. The outcomes of these studies will determine whether satellite systems may operate in these MS bands, and under what regulatory and technical conditions such operation would be internationally harmonised.</w:t>
      </w:r>
    </w:p>
    <w:p w14:paraId="3395D827" w14:textId="77777777" w:rsidR="004945E5" w:rsidRPr="00A86804" w:rsidRDefault="004945E5" w:rsidP="00890330">
      <w:pPr>
        <w:spacing w:line="240" w:lineRule="auto"/>
        <w:ind w:left="720"/>
        <w:rPr>
          <w:rFonts w:ascii="Arial" w:hAnsi="Arial" w:cs="Arial"/>
          <w:sz w:val="22"/>
          <w:szCs w:val="22"/>
        </w:rPr>
      </w:pPr>
      <w:r w:rsidRPr="004945E5">
        <w:rPr>
          <w:rFonts w:ascii="Arial" w:hAnsi="Arial" w:cs="Arial"/>
          <w:sz w:val="22"/>
          <w:szCs w:val="22"/>
        </w:rPr>
        <w:t xml:space="preserve">d. Given this ongoing study cycle, any conclusion within 3GPP on new NTN band definitions </w:t>
      </w:r>
      <w:r w:rsidRPr="00A86804">
        <w:rPr>
          <w:rFonts w:ascii="Arial" w:hAnsi="Arial" w:cs="Arial"/>
          <w:sz w:val="22"/>
          <w:szCs w:val="22"/>
        </w:rPr>
        <w:t>may</w:t>
      </w:r>
      <w:r w:rsidRPr="004945E5">
        <w:rPr>
          <w:rFonts w:ascii="Arial" w:hAnsi="Arial" w:cs="Arial"/>
          <w:sz w:val="22"/>
          <w:szCs w:val="22"/>
        </w:rPr>
        <w:t xml:space="preserve"> risk misalignment with the international regulatory framework. </w:t>
      </w:r>
    </w:p>
    <w:p w14:paraId="776FFF3F" w14:textId="5EEE8E85" w:rsidR="004945E5" w:rsidRPr="004945E5" w:rsidRDefault="004945E5" w:rsidP="00890330">
      <w:pPr>
        <w:spacing w:line="240" w:lineRule="auto"/>
        <w:ind w:left="720"/>
        <w:rPr>
          <w:rFonts w:ascii="Arial" w:hAnsi="Arial" w:cs="Arial"/>
          <w:sz w:val="22"/>
          <w:szCs w:val="22"/>
        </w:rPr>
      </w:pPr>
      <w:r w:rsidRPr="00A86804">
        <w:rPr>
          <w:rFonts w:ascii="Arial" w:hAnsi="Arial" w:cs="Arial"/>
          <w:sz w:val="22"/>
          <w:szCs w:val="22"/>
        </w:rPr>
        <w:t xml:space="preserve">e. </w:t>
      </w:r>
      <w:r w:rsidRPr="004945E5">
        <w:rPr>
          <w:rFonts w:ascii="Arial" w:hAnsi="Arial" w:cs="Arial"/>
          <w:sz w:val="22"/>
          <w:szCs w:val="22"/>
        </w:rPr>
        <w:t xml:space="preserve">Aligning the sequencing of 3GPP work with the results of WRC-27 </w:t>
      </w:r>
      <w:r w:rsidRPr="00A86804">
        <w:rPr>
          <w:rFonts w:ascii="Arial" w:hAnsi="Arial" w:cs="Arial"/>
          <w:sz w:val="22"/>
          <w:szCs w:val="22"/>
        </w:rPr>
        <w:t>can</w:t>
      </w:r>
      <w:r w:rsidRPr="004945E5">
        <w:rPr>
          <w:rFonts w:ascii="Arial" w:hAnsi="Arial" w:cs="Arial"/>
          <w:sz w:val="22"/>
          <w:szCs w:val="22"/>
        </w:rPr>
        <w:t xml:space="preserve"> help prevent </w:t>
      </w:r>
      <w:r w:rsidRPr="00A86804">
        <w:rPr>
          <w:rFonts w:ascii="Arial" w:hAnsi="Arial" w:cs="Arial"/>
          <w:sz w:val="22"/>
          <w:szCs w:val="22"/>
        </w:rPr>
        <w:t xml:space="preserve">country-by-country </w:t>
      </w:r>
      <w:r w:rsidRPr="004945E5">
        <w:rPr>
          <w:rFonts w:ascii="Arial" w:hAnsi="Arial" w:cs="Arial"/>
          <w:sz w:val="22"/>
          <w:szCs w:val="22"/>
        </w:rPr>
        <w:t>fragmentation, avoid the need for subsequent revision, and ensure that any NR-NTN solution reflects the conditions ultimately adopted by ITU-R.</w:t>
      </w:r>
    </w:p>
    <w:p w14:paraId="79783FB5" w14:textId="77777777" w:rsidR="004945E5" w:rsidRPr="00A86804" w:rsidRDefault="004945E5" w:rsidP="00890330">
      <w:pPr>
        <w:spacing w:line="240" w:lineRule="auto"/>
        <w:ind w:left="720"/>
        <w:rPr>
          <w:rFonts w:ascii="Arial" w:hAnsi="Arial" w:cs="Arial"/>
          <w:sz w:val="22"/>
          <w:szCs w:val="22"/>
        </w:rPr>
      </w:pPr>
      <w:r w:rsidRPr="00A86804">
        <w:rPr>
          <w:rFonts w:ascii="Arial" w:hAnsi="Arial" w:cs="Arial"/>
          <w:sz w:val="22"/>
          <w:szCs w:val="22"/>
        </w:rPr>
        <w:t>f</w:t>
      </w:r>
      <w:r w:rsidRPr="004945E5">
        <w:rPr>
          <w:rFonts w:ascii="Arial" w:hAnsi="Arial" w:cs="Arial"/>
          <w:sz w:val="22"/>
          <w:szCs w:val="22"/>
        </w:rPr>
        <w:t>. </w:t>
      </w:r>
      <w:r w:rsidRPr="00A86804">
        <w:rPr>
          <w:rFonts w:ascii="Arial" w:hAnsi="Arial" w:cs="Arial"/>
          <w:sz w:val="22"/>
          <w:szCs w:val="22"/>
        </w:rPr>
        <w:t>C</w:t>
      </w:r>
      <w:r w:rsidRPr="004945E5">
        <w:rPr>
          <w:rFonts w:ascii="Arial" w:hAnsi="Arial" w:cs="Arial"/>
          <w:sz w:val="22"/>
          <w:szCs w:val="22"/>
        </w:rPr>
        <w:t>ontinued discussion in 3GPP is valuable</w:t>
      </w:r>
      <w:r w:rsidRPr="00A86804">
        <w:rPr>
          <w:rFonts w:ascii="Arial" w:hAnsi="Arial" w:cs="Arial"/>
          <w:sz w:val="22"/>
          <w:szCs w:val="22"/>
        </w:rPr>
        <w:t xml:space="preserve">. </w:t>
      </w:r>
    </w:p>
    <w:p w14:paraId="1EA0057B" w14:textId="61CF86CD" w:rsidR="004945E5" w:rsidRPr="00A86804" w:rsidRDefault="004945E5" w:rsidP="00890330">
      <w:pPr>
        <w:spacing w:line="240" w:lineRule="auto"/>
        <w:ind w:left="720"/>
        <w:rPr>
          <w:rFonts w:ascii="Arial" w:hAnsi="Arial" w:cs="Arial"/>
          <w:sz w:val="22"/>
          <w:szCs w:val="22"/>
        </w:rPr>
      </w:pPr>
      <w:r w:rsidRPr="00A86804">
        <w:rPr>
          <w:rFonts w:ascii="Arial" w:hAnsi="Arial" w:cs="Arial"/>
          <w:sz w:val="22"/>
          <w:szCs w:val="22"/>
        </w:rPr>
        <w:lastRenderedPageBreak/>
        <w:t>g. I</w:t>
      </w:r>
      <w:r w:rsidRPr="004945E5">
        <w:rPr>
          <w:rFonts w:ascii="Arial" w:hAnsi="Arial" w:cs="Arial"/>
          <w:sz w:val="22"/>
          <w:szCs w:val="22"/>
        </w:rPr>
        <w:t>nitiating normative work such as a WID would be most productive once the international regulatory framework is clarified through WRC-27, consistent with the long-standing cooperation and alignment between ITU-R and 3GPP processes.</w:t>
      </w:r>
    </w:p>
    <w:p w14:paraId="108A0F12" w14:textId="307AEF28" w:rsidR="004945E5" w:rsidRDefault="004945E5" w:rsidP="0015543F">
      <w:pPr>
        <w:jc w:val="both"/>
        <w:rPr>
          <w:rFonts w:ascii="Arial" w:hAnsi="Arial" w:cs="Arial"/>
          <w:sz w:val="22"/>
          <w:szCs w:val="22"/>
        </w:rPr>
      </w:pPr>
    </w:p>
    <w:p w14:paraId="5FBA3BAB" w14:textId="77777777" w:rsidR="0015543F" w:rsidRPr="00A86804" w:rsidRDefault="0015543F" w:rsidP="0015543F">
      <w:pPr>
        <w:jc w:val="both"/>
        <w:rPr>
          <w:rFonts w:ascii="Arial" w:hAnsi="Arial" w:cs="Arial"/>
          <w:b/>
          <w:bCs/>
          <w:sz w:val="22"/>
          <w:szCs w:val="22"/>
        </w:rPr>
      </w:pPr>
      <w:r w:rsidRPr="00A86804">
        <w:rPr>
          <w:rFonts w:ascii="Arial" w:hAnsi="Arial" w:cs="Arial"/>
          <w:b/>
          <w:bCs/>
          <w:sz w:val="22"/>
          <w:szCs w:val="22"/>
        </w:rPr>
        <w:t xml:space="preserve">ITU-R SG4 relevant documents on this topic are: </w:t>
      </w:r>
    </w:p>
    <w:p w14:paraId="068FE9DD" w14:textId="77777777" w:rsidR="0015543F" w:rsidRPr="00A86804" w:rsidRDefault="0015543F" w:rsidP="0015543F">
      <w:pPr>
        <w:pStyle w:val="ListParagraph"/>
        <w:numPr>
          <w:ilvl w:val="0"/>
          <w:numId w:val="6"/>
        </w:numPr>
        <w:jc w:val="both"/>
        <w:rPr>
          <w:rFonts w:ascii="Arial" w:hAnsi="Arial" w:cs="Arial"/>
          <w:sz w:val="22"/>
          <w:szCs w:val="22"/>
        </w:rPr>
      </w:pPr>
      <w:r>
        <w:fldChar w:fldCharType="begin"/>
      </w:r>
      <w:r>
        <w:instrText xml:space="preserve"> HYPERLINK "https://www.itu.int/dms_ties/itu-r/md/23/wp4c/c/R23-WP4C-C-0528!N11!MSW-E.docx" </w:instrText>
      </w:r>
      <w:r>
        <w:fldChar w:fldCharType="separate"/>
      </w:r>
      <w:r w:rsidRPr="00A86804">
        <w:rPr>
          <w:rStyle w:val="Hyperlink"/>
          <w:rFonts w:ascii="Arial" w:hAnsi="Arial" w:cs="Arial"/>
          <w:sz w:val="22"/>
          <w:szCs w:val="22"/>
        </w:rPr>
        <w:t>Annex 11 to WP4C Chair´s Report</w:t>
      </w:r>
      <w:r>
        <w:rPr>
          <w:rStyle w:val="Hyperlink"/>
          <w:rFonts w:ascii="Arial" w:hAnsi="Arial" w:cs="Arial"/>
          <w:sz w:val="22"/>
          <w:szCs w:val="22"/>
        </w:rPr>
        <w:fldChar w:fldCharType="end"/>
      </w:r>
      <w:r w:rsidRPr="00A86804">
        <w:rPr>
          <w:rFonts w:ascii="Arial" w:hAnsi="Arial" w:cs="Arial"/>
          <w:sz w:val="22"/>
          <w:szCs w:val="22"/>
        </w:rPr>
        <w:t xml:space="preserve"> </w:t>
      </w:r>
    </w:p>
    <w:p w14:paraId="5A0B757C" w14:textId="77777777" w:rsidR="0015543F" w:rsidRPr="00A86804" w:rsidRDefault="0015543F" w:rsidP="0015543F">
      <w:pPr>
        <w:pStyle w:val="ListParagraph"/>
        <w:numPr>
          <w:ilvl w:val="0"/>
          <w:numId w:val="6"/>
        </w:numPr>
        <w:jc w:val="both"/>
        <w:rPr>
          <w:rFonts w:ascii="Arial" w:hAnsi="Arial" w:cs="Arial"/>
          <w:sz w:val="22"/>
          <w:szCs w:val="22"/>
        </w:rPr>
      </w:pPr>
      <w:r>
        <w:fldChar w:fldCharType="begin"/>
      </w:r>
      <w:r>
        <w:instrText xml:space="preserve"> HYPERLINK "https://www.itu.int/dms_ties/itu-r/md/23/wp4c/c/R23-WP4C-C-0528!N08!MSW-E.docx" </w:instrText>
      </w:r>
      <w:r>
        <w:fldChar w:fldCharType="separate"/>
      </w:r>
      <w:r w:rsidRPr="00A86804">
        <w:rPr>
          <w:rStyle w:val="Hyperlink"/>
          <w:rFonts w:ascii="Arial" w:hAnsi="Arial" w:cs="Arial"/>
          <w:sz w:val="22"/>
          <w:szCs w:val="22"/>
        </w:rPr>
        <w:t>Annex 8 - Working document on sharing and compatibility studies under WRC-27 agenda item 1.13</w:t>
      </w:r>
      <w:r>
        <w:rPr>
          <w:rStyle w:val="Hyperlink"/>
          <w:rFonts w:ascii="Arial" w:hAnsi="Arial" w:cs="Arial"/>
          <w:sz w:val="22"/>
          <w:szCs w:val="22"/>
        </w:rPr>
        <w:fldChar w:fldCharType="end"/>
      </w:r>
    </w:p>
    <w:p w14:paraId="04A70AB7" w14:textId="77777777" w:rsidR="0015543F" w:rsidRPr="00A86804" w:rsidRDefault="0015543F" w:rsidP="0015543F">
      <w:pPr>
        <w:pStyle w:val="ListParagraph"/>
        <w:numPr>
          <w:ilvl w:val="0"/>
          <w:numId w:val="6"/>
        </w:numPr>
        <w:jc w:val="both"/>
        <w:rPr>
          <w:rFonts w:ascii="Arial" w:hAnsi="Arial" w:cs="Arial"/>
          <w:sz w:val="22"/>
          <w:szCs w:val="22"/>
        </w:rPr>
      </w:pPr>
      <w:r>
        <w:fldChar w:fldCharType="begin"/>
      </w:r>
      <w:r>
        <w:instrText xml:space="preserve"> HYPERLINK "https://www.itu.int/dms_ties/itu-r/md/23/wp4c/c/R23-WP4C-C-0528!N09!MSW-E.docx" </w:instrText>
      </w:r>
      <w:r>
        <w:fldChar w:fldCharType="separate"/>
      </w:r>
      <w:r w:rsidRPr="00A86804">
        <w:rPr>
          <w:rStyle w:val="Hyperlink"/>
          <w:rFonts w:ascii="Arial" w:hAnsi="Arial" w:cs="Arial"/>
          <w:sz w:val="22"/>
          <w:szCs w:val="22"/>
        </w:rPr>
        <w:t>Annex 9 Working document on the possible description and functionality of MSS systems for direct connectivity between space stations and IMT user equipment</w:t>
      </w:r>
      <w:r>
        <w:rPr>
          <w:rStyle w:val="Hyperlink"/>
          <w:rFonts w:ascii="Arial" w:hAnsi="Arial" w:cs="Arial"/>
          <w:sz w:val="22"/>
          <w:szCs w:val="22"/>
        </w:rPr>
        <w:fldChar w:fldCharType="end"/>
      </w:r>
    </w:p>
    <w:p w14:paraId="7735A2FA" w14:textId="0414BA80" w:rsidR="0015543F" w:rsidRPr="00890330" w:rsidRDefault="0015543F" w:rsidP="00890330">
      <w:pPr>
        <w:pStyle w:val="ListParagraph"/>
        <w:numPr>
          <w:ilvl w:val="0"/>
          <w:numId w:val="6"/>
        </w:numPr>
        <w:jc w:val="both"/>
        <w:rPr>
          <w:rFonts w:ascii="Arial" w:hAnsi="Arial" w:cs="Arial"/>
          <w:sz w:val="22"/>
          <w:szCs w:val="22"/>
        </w:rPr>
      </w:pPr>
      <w:r>
        <w:fldChar w:fldCharType="begin"/>
      </w:r>
      <w:r>
        <w:instrText xml:space="preserve"> HYPERLINK "https://www.itu.int/dms_ties/itu-r/md/23/wp4c/c/R23-WP4C-C-0528!N17!MSW-E.docx" </w:instrText>
      </w:r>
      <w:r>
        <w:fldChar w:fldCharType="separate"/>
      </w:r>
      <w:r w:rsidRPr="00A86804">
        <w:rPr>
          <w:rStyle w:val="Hyperlink"/>
          <w:rFonts w:ascii="Arial" w:hAnsi="Arial" w:cs="Arial"/>
          <w:sz w:val="22"/>
          <w:szCs w:val="22"/>
        </w:rPr>
        <w:t>Annex 17 - Supporting material on the MSS Protection Criteria to be used in sharing and compatibility studies within the context of WRC-27 agenda items 1.12, 1.13, and 1.14</w:t>
      </w:r>
      <w:r>
        <w:rPr>
          <w:rStyle w:val="Hyperlink"/>
          <w:rFonts w:ascii="Arial" w:hAnsi="Arial" w:cs="Arial"/>
          <w:sz w:val="22"/>
          <w:szCs w:val="22"/>
        </w:rPr>
        <w:fldChar w:fldCharType="end"/>
      </w:r>
    </w:p>
    <w:p w14:paraId="7D4A8FC8" w14:textId="77777777" w:rsidR="0015543F" w:rsidRPr="004945E5" w:rsidRDefault="0015543F" w:rsidP="00890330">
      <w:pPr>
        <w:jc w:val="both"/>
        <w:rPr>
          <w:rFonts w:ascii="Arial" w:hAnsi="Arial" w:cs="Arial"/>
          <w:sz w:val="22"/>
          <w:szCs w:val="22"/>
        </w:rPr>
      </w:pPr>
    </w:p>
    <w:p w14:paraId="0F7DB6A7" w14:textId="5444F47C" w:rsidR="00F268A6" w:rsidRPr="00A86804" w:rsidRDefault="00F268A6" w:rsidP="004B6765">
      <w:pPr>
        <w:jc w:val="both"/>
        <w:rPr>
          <w:rFonts w:ascii="Arial" w:hAnsi="Arial" w:cs="Arial"/>
          <w:b/>
          <w:bCs/>
          <w:sz w:val="22"/>
          <w:szCs w:val="22"/>
        </w:rPr>
      </w:pPr>
      <w:r w:rsidRPr="00A86804">
        <w:rPr>
          <w:rFonts w:ascii="Arial" w:hAnsi="Arial" w:cs="Arial"/>
          <w:b/>
          <w:bCs/>
          <w:sz w:val="22"/>
          <w:szCs w:val="22"/>
        </w:rPr>
        <w:t>2.</w:t>
      </w:r>
      <w:r w:rsidR="004945E5" w:rsidRPr="00A86804">
        <w:rPr>
          <w:rFonts w:ascii="Arial" w:hAnsi="Arial" w:cs="Arial"/>
          <w:b/>
          <w:bCs/>
          <w:sz w:val="22"/>
          <w:szCs w:val="22"/>
        </w:rPr>
        <w:t>2</w:t>
      </w:r>
      <w:r w:rsidRPr="00A86804">
        <w:rPr>
          <w:rFonts w:ascii="Arial" w:hAnsi="Arial" w:cs="Arial"/>
          <w:b/>
          <w:bCs/>
          <w:sz w:val="22"/>
          <w:szCs w:val="22"/>
        </w:rPr>
        <w:t xml:space="preserve"> Technical coexistence and directionality</w:t>
      </w:r>
      <w:r w:rsidRPr="00A86804" w:rsidDel="00BD50EF">
        <w:rPr>
          <w:rFonts w:ascii="Arial" w:hAnsi="Arial" w:cs="Arial"/>
          <w:b/>
          <w:bCs/>
          <w:sz w:val="22"/>
          <w:szCs w:val="22"/>
        </w:rPr>
        <w:t xml:space="preserve"> </w:t>
      </w:r>
    </w:p>
    <w:p w14:paraId="045A6AE3" w14:textId="38DBB4F6" w:rsidR="004945E5" w:rsidRPr="004945E5" w:rsidRDefault="004945E5" w:rsidP="00890330">
      <w:pPr>
        <w:spacing w:line="240" w:lineRule="auto"/>
        <w:jc w:val="both"/>
        <w:rPr>
          <w:rFonts w:ascii="Arial" w:hAnsi="Arial" w:cs="Arial"/>
          <w:sz w:val="22"/>
          <w:szCs w:val="22"/>
        </w:rPr>
      </w:pPr>
      <w:r w:rsidRPr="00A86804">
        <w:rPr>
          <w:rFonts w:ascii="Arial" w:hAnsi="Arial" w:cs="Arial"/>
          <w:sz w:val="22"/>
          <w:szCs w:val="22"/>
        </w:rPr>
        <w:t>C</w:t>
      </w:r>
      <w:r w:rsidRPr="004945E5">
        <w:rPr>
          <w:rFonts w:ascii="Arial" w:hAnsi="Arial" w:cs="Arial"/>
          <w:sz w:val="22"/>
          <w:szCs w:val="22"/>
        </w:rPr>
        <w:t xml:space="preserve">oexistence between MSS and </w:t>
      </w:r>
      <w:r w:rsidR="00CE7B9D">
        <w:rPr>
          <w:rFonts w:ascii="Arial" w:hAnsi="Arial" w:cs="Arial"/>
          <w:sz w:val="22"/>
          <w:szCs w:val="22"/>
        </w:rPr>
        <w:t>MS</w:t>
      </w:r>
      <w:r w:rsidRPr="004945E5">
        <w:rPr>
          <w:rFonts w:ascii="Arial" w:hAnsi="Arial" w:cs="Arial"/>
          <w:sz w:val="22"/>
          <w:szCs w:val="22"/>
        </w:rPr>
        <w:t xml:space="preserve"> systems supporting complementary NTN services can be technically achievable provided that appropriate protection mechanisms are applied. </w:t>
      </w:r>
    </w:p>
    <w:p w14:paraId="27E0E373" w14:textId="77777777" w:rsidR="004945E5" w:rsidRPr="00A86804" w:rsidRDefault="004945E5" w:rsidP="00890330">
      <w:pPr>
        <w:spacing w:line="240" w:lineRule="auto"/>
        <w:jc w:val="both"/>
        <w:rPr>
          <w:rFonts w:ascii="Arial" w:hAnsi="Arial" w:cs="Arial"/>
          <w:sz w:val="22"/>
          <w:szCs w:val="22"/>
        </w:rPr>
      </w:pPr>
      <w:r w:rsidRPr="004945E5">
        <w:rPr>
          <w:rFonts w:ascii="Arial" w:hAnsi="Arial" w:cs="Arial"/>
          <w:sz w:val="22"/>
          <w:szCs w:val="22"/>
        </w:rPr>
        <w:t xml:space="preserve">At the same time, coexistence scenarios involving two </w:t>
      </w:r>
      <w:r w:rsidRPr="00A86804">
        <w:rPr>
          <w:rFonts w:ascii="Arial" w:hAnsi="Arial" w:cs="Arial"/>
          <w:sz w:val="22"/>
          <w:szCs w:val="22"/>
        </w:rPr>
        <w:t>MSS</w:t>
      </w:r>
      <w:r w:rsidRPr="004945E5">
        <w:rPr>
          <w:rFonts w:ascii="Arial" w:hAnsi="Arial" w:cs="Arial"/>
          <w:sz w:val="22"/>
          <w:szCs w:val="22"/>
        </w:rPr>
        <w:t xml:space="preserve"> systems operating with opposite </w:t>
      </w:r>
      <w:r w:rsidRPr="00A86804">
        <w:rPr>
          <w:rFonts w:ascii="Arial" w:hAnsi="Arial" w:cs="Arial"/>
          <w:sz w:val="22"/>
          <w:szCs w:val="22"/>
        </w:rPr>
        <w:t>UL</w:t>
      </w:r>
      <w:r w:rsidRPr="004945E5">
        <w:rPr>
          <w:rFonts w:ascii="Arial" w:hAnsi="Arial" w:cs="Arial"/>
          <w:sz w:val="22"/>
          <w:szCs w:val="22"/>
        </w:rPr>
        <w:t xml:space="preserve"> and </w:t>
      </w:r>
      <w:r w:rsidRPr="00A86804">
        <w:rPr>
          <w:rFonts w:ascii="Arial" w:hAnsi="Arial" w:cs="Arial"/>
          <w:sz w:val="22"/>
          <w:szCs w:val="22"/>
        </w:rPr>
        <w:t>DL</w:t>
      </w:r>
      <w:r w:rsidRPr="004945E5">
        <w:rPr>
          <w:rFonts w:ascii="Arial" w:hAnsi="Arial" w:cs="Arial"/>
          <w:sz w:val="22"/>
          <w:szCs w:val="22"/>
        </w:rPr>
        <w:t xml:space="preserve"> directions in the same or adjacent bands present significantly greater challenges. </w:t>
      </w:r>
    </w:p>
    <w:p w14:paraId="1BC33F0A" w14:textId="464943A1" w:rsidR="004945E5" w:rsidRPr="004945E5" w:rsidRDefault="004945E5" w:rsidP="00890330">
      <w:pPr>
        <w:spacing w:line="240" w:lineRule="auto"/>
        <w:jc w:val="both"/>
        <w:rPr>
          <w:rFonts w:ascii="Arial" w:hAnsi="Arial" w:cs="Arial"/>
          <w:sz w:val="22"/>
          <w:szCs w:val="22"/>
        </w:rPr>
      </w:pPr>
      <w:r w:rsidRPr="004945E5">
        <w:rPr>
          <w:rFonts w:ascii="Arial" w:hAnsi="Arial" w:cs="Arial"/>
          <w:sz w:val="22"/>
          <w:szCs w:val="22"/>
        </w:rPr>
        <w:t xml:space="preserve">This is particularly relevant in parts of ITU Region 3, where the MSS allocations overlap with portions of the frequency range corresponding to Band n7. In these cases, the coexistence problem spans satellite link budgets, cross-border emissions, </w:t>
      </w:r>
      <w:r w:rsidRPr="00A86804">
        <w:rPr>
          <w:rFonts w:ascii="Arial" w:hAnsi="Arial" w:cs="Arial"/>
          <w:sz w:val="22"/>
          <w:szCs w:val="22"/>
        </w:rPr>
        <w:t xml:space="preserve">regulated </w:t>
      </w:r>
      <w:r w:rsidRPr="004945E5">
        <w:rPr>
          <w:rFonts w:ascii="Arial" w:hAnsi="Arial" w:cs="Arial"/>
          <w:sz w:val="22"/>
          <w:szCs w:val="22"/>
        </w:rPr>
        <w:t xml:space="preserve">MSS protection requirements, and interaction with IMT systems in adjacent allocations. These considerations </w:t>
      </w:r>
      <w:r w:rsidRPr="00A86804">
        <w:rPr>
          <w:rFonts w:ascii="Arial" w:hAnsi="Arial" w:cs="Arial"/>
          <w:sz w:val="22"/>
          <w:szCs w:val="22"/>
        </w:rPr>
        <w:t xml:space="preserve">may </w:t>
      </w:r>
      <w:r w:rsidRPr="004945E5">
        <w:rPr>
          <w:rFonts w:ascii="Arial" w:hAnsi="Arial" w:cs="Arial"/>
          <w:sz w:val="22"/>
          <w:szCs w:val="22"/>
        </w:rPr>
        <w:t>extend</w:t>
      </w:r>
      <w:r w:rsidRPr="00A86804">
        <w:rPr>
          <w:rFonts w:ascii="Arial" w:hAnsi="Arial" w:cs="Arial"/>
          <w:sz w:val="22"/>
          <w:szCs w:val="22"/>
        </w:rPr>
        <w:t xml:space="preserve"> well</w:t>
      </w:r>
      <w:r w:rsidRPr="004945E5">
        <w:rPr>
          <w:rFonts w:ascii="Arial" w:hAnsi="Arial" w:cs="Arial"/>
          <w:sz w:val="22"/>
          <w:szCs w:val="22"/>
        </w:rPr>
        <w:t xml:space="preserve"> beyond what can be resolved within</w:t>
      </w:r>
      <w:r w:rsidRPr="00A86804">
        <w:rPr>
          <w:rFonts w:ascii="Arial" w:hAnsi="Arial" w:cs="Arial"/>
          <w:sz w:val="22"/>
          <w:szCs w:val="22"/>
        </w:rPr>
        <w:t xml:space="preserve"> minimal</w:t>
      </w:r>
      <w:r w:rsidRPr="004945E5">
        <w:rPr>
          <w:rFonts w:ascii="Arial" w:hAnsi="Arial" w:cs="Arial"/>
          <w:sz w:val="22"/>
          <w:szCs w:val="22"/>
        </w:rPr>
        <w:t xml:space="preserve"> 3GPP technical specifications alone.</w:t>
      </w:r>
    </w:p>
    <w:p w14:paraId="2C561B6E" w14:textId="5FBA1715" w:rsidR="004945E5" w:rsidRPr="004945E5" w:rsidRDefault="004945E5" w:rsidP="00890330">
      <w:pPr>
        <w:spacing w:line="240" w:lineRule="auto"/>
        <w:jc w:val="both"/>
        <w:rPr>
          <w:rFonts w:ascii="Arial" w:hAnsi="Arial" w:cs="Arial"/>
          <w:sz w:val="22"/>
          <w:szCs w:val="22"/>
        </w:rPr>
      </w:pPr>
      <w:r w:rsidRPr="00A86804">
        <w:rPr>
          <w:rFonts w:ascii="Arial" w:hAnsi="Arial" w:cs="Arial"/>
          <w:sz w:val="22"/>
          <w:szCs w:val="22"/>
        </w:rPr>
        <w:t>F</w:t>
      </w:r>
      <w:r w:rsidRPr="004945E5">
        <w:rPr>
          <w:rFonts w:ascii="Arial" w:hAnsi="Arial" w:cs="Arial"/>
          <w:sz w:val="22"/>
          <w:szCs w:val="22"/>
        </w:rPr>
        <w:t>or determining the</w:t>
      </w:r>
      <w:r w:rsidRPr="00A86804">
        <w:rPr>
          <w:rFonts w:ascii="Arial" w:hAnsi="Arial" w:cs="Arial"/>
          <w:sz w:val="22"/>
          <w:szCs w:val="22"/>
        </w:rPr>
        <w:t xml:space="preserve"> necessary</w:t>
      </w:r>
      <w:r w:rsidRPr="004945E5">
        <w:rPr>
          <w:rFonts w:ascii="Arial" w:hAnsi="Arial" w:cs="Arial"/>
          <w:sz w:val="22"/>
          <w:szCs w:val="22"/>
        </w:rPr>
        <w:t xml:space="preserve"> regulatory and technical conditions for such coexistence</w:t>
      </w:r>
      <w:r w:rsidRPr="00A86804">
        <w:rPr>
          <w:rFonts w:ascii="Arial" w:hAnsi="Arial" w:cs="Arial"/>
          <w:sz w:val="22"/>
          <w:szCs w:val="22"/>
        </w:rPr>
        <w:t xml:space="preserve"> (</w:t>
      </w:r>
      <w:r w:rsidRPr="004945E5">
        <w:rPr>
          <w:rFonts w:ascii="Arial" w:hAnsi="Arial" w:cs="Arial"/>
          <w:sz w:val="22"/>
          <w:szCs w:val="22"/>
        </w:rPr>
        <w:t xml:space="preserve">including UL/DL directionality constraints and the shared use of </w:t>
      </w:r>
      <w:r w:rsidR="00CE7B9D">
        <w:rPr>
          <w:rFonts w:ascii="Arial" w:hAnsi="Arial" w:cs="Arial"/>
          <w:sz w:val="22"/>
          <w:szCs w:val="22"/>
        </w:rPr>
        <w:t>MS</w:t>
      </w:r>
      <w:r w:rsidRPr="004945E5">
        <w:rPr>
          <w:rFonts w:ascii="Arial" w:hAnsi="Arial" w:cs="Arial"/>
          <w:sz w:val="22"/>
          <w:szCs w:val="22"/>
        </w:rPr>
        <w:t xml:space="preserve"> bands by IMT and satellite systems</w:t>
      </w:r>
      <w:r w:rsidRPr="00A86804">
        <w:rPr>
          <w:rFonts w:ascii="Arial" w:hAnsi="Arial" w:cs="Arial"/>
          <w:sz w:val="22"/>
          <w:szCs w:val="22"/>
        </w:rPr>
        <w:t xml:space="preserve">), </w:t>
      </w:r>
      <w:r w:rsidRPr="004945E5">
        <w:rPr>
          <w:rFonts w:ascii="Arial" w:hAnsi="Arial" w:cs="Arial"/>
          <w:sz w:val="22"/>
          <w:szCs w:val="22"/>
        </w:rPr>
        <w:t>the IT</w:t>
      </w:r>
      <w:r w:rsidRPr="00A86804">
        <w:rPr>
          <w:rFonts w:ascii="Arial" w:hAnsi="Arial" w:cs="Arial"/>
          <w:sz w:val="22"/>
          <w:szCs w:val="22"/>
        </w:rPr>
        <w:t>U</w:t>
      </w:r>
      <w:r w:rsidRPr="004945E5">
        <w:rPr>
          <w:rFonts w:ascii="Arial" w:hAnsi="Arial" w:cs="Arial"/>
          <w:sz w:val="22"/>
          <w:szCs w:val="22"/>
        </w:rPr>
        <w:t xml:space="preserve"> </w:t>
      </w:r>
      <w:r w:rsidRPr="00A86804">
        <w:rPr>
          <w:rFonts w:ascii="Arial" w:hAnsi="Arial" w:cs="Arial"/>
          <w:sz w:val="22"/>
          <w:szCs w:val="22"/>
        </w:rPr>
        <w:t xml:space="preserve">via Resolution 253 (WRC-23) mandated SG4 to study this matter under </w:t>
      </w:r>
      <w:r w:rsidRPr="004945E5">
        <w:rPr>
          <w:rFonts w:ascii="Arial" w:hAnsi="Arial" w:cs="Arial"/>
          <w:sz w:val="22"/>
          <w:szCs w:val="22"/>
        </w:rPr>
        <w:t>Agenda Item 1.13. This process is specifically mandated to assess the feasibility of MSS or satellite-IMT coexistence in these bands and to establish harmonised international conditions where appropriate.</w:t>
      </w:r>
    </w:p>
    <w:p w14:paraId="505DACB0" w14:textId="77777777" w:rsidR="004945E5" w:rsidRPr="00A86804" w:rsidRDefault="004945E5" w:rsidP="00890330">
      <w:pPr>
        <w:spacing w:line="240" w:lineRule="auto"/>
        <w:jc w:val="both"/>
        <w:rPr>
          <w:rFonts w:ascii="Arial" w:hAnsi="Arial" w:cs="Arial"/>
          <w:sz w:val="22"/>
          <w:szCs w:val="22"/>
        </w:rPr>
      </w:pPr>
      <w:r w:rsidRPr="004945E5">
        <w:rPr>
          <w:rFonts w:ascii="Arial" w:hAnsi="Arial" w:cs="Arial"/>
          <w:sz w:val="22"/>
          <w:szCs w:val="22"/>
        </w:rPr>
        <w:t xml:space="preserve">Additional factors that warrant careful consideration when discussing potential NTN operation in a single national context include: </w:t>
      </w:r>
    </w:p>
    <w:p w14:paraId="34B6BFAB" w14:textId="77777777" w:rsidR="004945E5" w:rsidRPr="00A86804" w:rsidRDefault="004945E5" w:rsidP="00890330">
      <w:pPr>
        <w:pStyle w:val="ListParagraph"/>
        <w:numPr>
          <w:ilvl w:val="0"/>
          <w:numId w:val="3"/>
        </w:numPr>
        <w:spacing w:line="240" w:lineRule="auto"/>
        <w:jc w:val="both"/>
        <w:rPr>
          <w:rFonts w:ascii="Arial" w:hAnsi="Arial" w:cs="Arial"/>
          <w:sz w:val="22"/>
          <w:szCs w:val="22"/>
        </w:rPr>
      </w:pPr>
      <w:r w:rsidRPr="00A86804">
        <w:rPr>
          <w:rFonts w:ascii="Arial" w:hAnsi="Arial" w:cs="Arial"/>
          <w:sz w:val="22"/>
          <w:szCs w:val="22"/>
        </w:rPr>
        <w:t>differing regional UL/DL arrangements,</w:t>
      </w:r>
    </w:p>
    <w:p w14:paraId="61E3D3E4" w14:textId="77777777" w:rsidR="004945E5" w:rsidRPr="00A86804" w:rsidRDefault="004945E5" w:rsidP="00890330">
      <w:pPr>
        <w:pStyle w:val="ListParagraph"/>
        <w:numPr>
          <w:ilvl w:val="0"/>
          <w:numId w:val="3"/>
        </w:numPr>
        <w:spacing w:line="240" w:lineRule="auto"/>
        <w:jc w:val="both"/>
        <w:rPr>
          <w:rFonts w:ascii="Arial" w:hAnsi="Arial" w:cs="Arial"/>
          <w:sz w:val="22"/>
          <w:szCs w:val="22"/>
        </w:rPr>
      </w:pPr>
      <w:r w:rsidRPr="00A86804">
        <w:rPr>
          <w:rFonts w:ascii="Arial" w:hAnsi="Arial" w:cs="Arial"/>
          <w:sz w:val="22"/>
          <w:szCs w:val="22"/>
        </w:rPr>
        <w:t>existing MSS operations in adjacent territories,</w:t>
      </w:r>
    </w:p>
    <w:p w14:paraId="7C44CAAF" w14:textId="77777777" w:rsidR="004945E5" w:rsidRPr="00A86804" w:rsidRDefault="004945E5" w:rsidP="00890330">
      <w:pPr>
        <w:pStyle w:val="ListParagraph"/>
        <w:numPr>
          <w:ilvl w:val="0"/>
          <w:numId w:val="3"/>
        </w:numPr>
        <w:spacing w:line="240" w:lineRule="auto"/>
        <w:jc w:val="both"/>
        <w:rPr>
          <w:rFonts w:ascii="Arial" w:hAnsi="Arial" w:cs="Arial"/>
          <w:sz w:val="22"/>
          <w:szCs w:val="22"/>
        </w:rPr>
      </w:pPr>
      <w:r w:rsidRPr="00A86804">
        <w:rPr>
          <w:rFonts w:ascii="Arial" w:hAnsi="Arial" w:cs="Arial"/>
          <w:sz w:val="22"/>
          <w:szCs w:val="22"/>
        </w:rPr>
        <w:t>in relation to the above: the global nature of satellite beams,</w:t>
      </w:r>
    </w:p>
    <w:p w14:paraId="76209B40" w14:textId="77777777" w:rsidR="004945E5" w:rsidRPr="00A86804" w:rsidRDefault="004945E5" w:rsidP="00890330">
      <w:pPr>
        <w:pStyle w:val="ListParagraph"/>
        <w:numPr>
          <w:ilvl w:val="0"/>
          <w:numId w:val="3"/>
        </w:numPr>
        <w:spacing w:line="240" w:lineRule="auto"/>
        <w:jc w:val="both"/>
        <w:rPr>
          <w:rFonts w:ascii="Arial" w:hAnsi="Arial" w:cs="Arial"/>
          <w:sz w:val="22"/>
          <w:szCs w:val="22"/>
        </w:rPr>
      </w:pPr>
      <w:r w:rsidRPr="00A86804">
        <w:rPr>
          <w:rFonts w:ascii="Arial" w:hAnsi="Arial" w:cs="Arial"/>
          <w:sz w:val="22"/>
          <w:szCs w:val="22"/>
        </w:rPr>
        <w:t>international harmonisation of IMT/NTN standards,</w:t>
      </w:r>
    </w:p>
    <w:p w14:paraId="5BF0D3DE" w14:textId="77777777" w:rsidR="004945E5" w:rsidRPr="00A86804" w:rsidRDefault="004945E5" w:rsidP="00890330">
      <w:pPr>
        <w:pStyle w:val="ListParagraph"/>
        <w:numPr>
          <w:ilvl w:val="0"/>
          <w:numId w:val="3"/>
        </w:numPr>
        <w:spacing w:line="240" w:lineRule="auto"/>
        <w:jc w:val="both"/>
        <w:rPr>
          <w:rFonts w:ascii="Arial" w:hAnsi="Arial" w:cs="Arial"/>
          <w:sz w:val="22"/>
          <w:szCs w:val="22"/>
        </w:rPr>
      </w:pPr>
      <w:r w:rsidRPr="00A86804">
        <w:rPr>
          <w:rFonts w:ascii="Arial" w:hAnsi="Arial" w:cs="Arial"/>
          <w:sz w:val="22"/>
          <w:szCs w:val="22"/>
        </w:rPr>
        <w:t>and the long-term evolution of D2D and NTN under WRC-27.</w:t>
      </w:r>
    </w:p>
    <w:p w14:paraId="5429F318" w14:textId="023DD1A1" w:rsidR="004945E5" w:rsidRPr="00A86804" w:rsidRDefault="004945E5" w:rsidP="00890330">
      <w:pPr>
        <w:spacing w:line="240" w:lineRule="auto"/>
        <w:jc w:val="both"/>
        <w:rPr>
          <w:rFonts w:ascii="Arial" w:hAnsi="Arial" w:cs="Arial"/>
          <w:sz w:val="22"/>
          <w:szCs w:val="22"/>
        </w:rPr>
      </w:pPr>
      <w:r w:rsidRPr="004945E5">
        <w:rPr>
          <w:rFonts w:ascii="Arial" w:hAnsi="Arial" w:cs="Arial"/>
          <w:sz w:val="22"/>
          <w:szCs w:val="22"/>
        </w:rPr>
        <w:t xml:space="preserve">In light of these elements, </w:t>
      </w:r>
      <w:r w:rsidRPr="00A86804">
        <w:rPr>
          <w:rFonts w:ascii="Arial" w:hAnsi="Arial" w:cs="Arial"/>
          <w:sz w:val="22"/>
          <w:szCs w:val="22"/>
        </w:rPr>
        <w:t>this information document</w:t>
      </w:r>
      <w:r w:rsidRPr="004945E5">
        <w:rPr>
          <w:rFonts w:ascii="Arial" w:hAnsi="Arial" w:cs="Arial"/>
          <w:sz w:val="22"/>
          <w:szCs w:val="22"/>
        </w:rPr>
        <w:t xml:space="preserve"> notes that defining a country-specific NTN band configuration could </w:t>
      </w:r>
      <w:r w:rsidR="00DE6AAD" w:rsidRPr="00A86804">
        <w:rPr>
          <w:rFonts w:ascii="Arial" w:hAnsi="Arial" w:cs="Arial"/>
          <w:sz w:val="22"/>
          <w:szCs w:val="22"/>
        </w:rPr>
        <w:t xml:space="preserve">unintentionally </w:t>
      </w:r>
      <w:r w:rsidRPr="004945E5">
        <w:rPr>
          <w:rFonts w:ascii="Arial" w:hAnsi="Arial" w:cs="Arial"/>
          <w:sz w:val="22"/>
          <w:szCs w:val="22"/>
        </w:rPr>
        <w:t xml:space="preserve">lead to </w:t>
      </w:r>
      <w:r w:rsidRPr="00A86804">
        <w:rPr>
          <w:rFonts w:ascii="Arial" w:hAnsi="Arial" w:cs="Arial"/>
          <w:sz w:val="22"/>
          <w:szCs w:val="22"/>
        </w:rPr>
        <w:t xml:space="preserve">similar </w:t>
      </w:r>
      <w:r w:rsidR="00C21592" w:rsidRPr="00A86804">
        <w:rPr>
          <w:rFonts w:ascii="Arial" w:hAnsi="Arial" w:cs="Arial"/>
          <w:sz w:val="22"/>
          <w:szCs w:val="22"/>
        </w:rPr>
        <w:t>nationally motivated</w:t>
      </w:r>
      <w:r w:rsidR="00DE6AAD" w:rsidRPr="00A86804">
        <w:rPr>
          <w:rFonts w:ascii="Arial" w:hAnsi="Arial" w:cs="Arial"/>
          <w:sz w:val="22"/>
          <w:szCs w:val="22"/>
        </w:rPr>
        <w:t xml:space="preserve"> standards, or</w:t>
      </w:r>
      <w:r w:rsidRPr="00A86804">
        <w:rPr>
          <w:rFonts w:ascii="Arial" w:hAnsi="Arial" w:cs="Arial"/>
          <w:sz w:val="22"/>
          <w:szCs w:val="22"/>
        </w:rPr>
        <w:t xml:space="preserve"> </w:t>
      </w:r>
      <w:r w:rsidRPr="00A86804">
        <w:rPr>
          <w:rFonts w:ascii="Arial" w:hAnsi="Arial" w:cs="Arial"/>
          <w:i/>
          <w:iCs/>
          <w:sz w:val="22"/>
          <w:szCs w:val="22"/>
        </w:rPr>
        <w:t>de facto</w:t>
      </w:r>
      <w:r w:rsidRPr="004945E5">
        <w:rPr>
          <w:rFonts w:ascii="Arial" w:hAnsi="Arial" w:cs="Arial"/>
          <w:sz w:val="22"/>
          <w:szCs w:val="22"/>
        </w:rPr>
        <w:t xml:space="preserve"> specialised or proprietary profile that diverges from the global interoperability objectives of 3GPP, and may require substantial revision once the outcomes of WRC-27 become available.</w:t>
      </w:r>
    </w:p>
    <w:p w14:paraId="4ABEF4D3" w14:textId="77777777" w:rsidR="00DE6AAD" w:rsidRPr="004945E5" w:rsidRDefault="00DE6AAD" w:rsidP="004945E5">
      <w:pPr>
        <w:jc w:val="both"/>
        <w:rPr>
          <w:rFonts w:ascii="Arial" w:hAnsi="Arial" w:cs="Arial"/>
          <w:sz w:val="22"/>
          <w:szCs w:val="22"/>
        </w:rPr>
      </w:pPr>
    </w:p>
    <w:p w14:paraId="72E95C72" w14:textId="506FB8C0" w:rsidR="004B6765" w:rsidRPr="00A86804" w:rsidRDefault="00DE6AAD" w:rsidP="004B6765">
      <w:pPr>
        <w:pStyle w:val="NormalWeb"/>
        <w:jc w:val="both"/>
        <w:rPr>
          <w:rFonts w:ascii="Arial" w:hAnsi="Arial" w:cs="Arial"/>
          <w:b/>
          <w:bCs/>
          <w:sz w:val="22"/>
          <w:szCs w:val="22"/>
          <w:u w:val="single"/>
        </w:rPr>
      </w:pPr>
      <w:r w:rsidRPr="00A86804">
        <w:rPr>
          <w:rFonts w:ascii="Arial" w:hAnsi="Arial" w:cs="Arial"/>
          <w:b/>
          <w:bCs/>
          <w:sz w:val="22"/>
          <w:szCs w:val="22"/>
          <w:u w:val="single"/>
        </w:rPr>
        <w:lastRenderedPageBreak/>
        <w:t>Technical considerations for non-conforming NTN</w:t>
      </w:r>
      <w:r w:rsidR="00853401" w:rsidRPr="00A86804">
        <w:rPr>
          <w:rFonts w:ascii="Arial" w:hAnsi="Arial" w:cs="Arial"/>
          <w:b/>
          <w:bCs/>
          <w:sz w:val="22"/>
          <w:szCs w:val="22"/>
          <w:u w:val="single"/>
        </w:rPr>
        <w:t xml:space="preserve"> </w:t>
      </w:r>
      <w:r w:rsidRPr="00A86804">
        <w:rPr>
          <w:rFonts w:ascii="Arial" w:hAnsi="Arial" w:cs="Arial"/>
          <w:b/>
          <w:bCs/>
          <w:sz w:val="22"/>
          <w:szCs w:val="22"/>
          <w:u w:val="single"/>
        </w:rPr>
        <w:t xml:space="preserve">in </w:t>
      </w:r>
      <w:r w:rsidR="005A16B6" w:rsidRPr="00A86804">
        <w:rPr>
          <w:rFonts w:ascii="Arial" w:hAnsi="Arial" w:cs="Arial"/>
          <w:b/>
          <w:bCs/>
          <w:sz w:val="22"/>
          <w:szCs w:val="22"/>
          <w:u w:val="single"/>
        </w:rPr>
        <w:t>Band</w:t>
      </w:r>
      <w:r w:rsidR="00853401" w:rsidRPr="00A86804">
        <w:rPr>
          <w:rFonts w:ascii="Arial" w:hAnsi="Arial" w:cs="Arial"/>
          <w:b/>
          <w:bCs/>
          <w:sz w:val="22"/>
          <w:szCs w:val="22"/>
          <w:u w:val="single"/>
        </w:rPr>
        <w:t xml:space="preserve"> n7</w:t>
      </w:r>
    </w:p>
    <w:p w14:paraId="492B13BE" w14:textId="54A9201C" w:rsidR="004B6765" w:rsidRPr="00A86804" w:rsidRDefault="00DE6AAD"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lang w:eastAsia="en-US"/>
          <w14:ligatures w14:val="standardContextual"/>
        </w:rPr>
        <w:t>W</w:t>
      </w:r>
      <w:r w:rsidR="004B6765" w:rsidRPr="00A86804">
        <w:rPr>
          <w:rFonts w:ascii="Arial" w:eastAsiaTheme="minorHAnsi" w:hAnsi="Arial" w:cs="Arial"/>
          <w:kern w:val="2"/>
          <w:sz w:val="22"/>
          <w:szCs w:val="22"/>
          <w:lang w:eastAsia="en-US"/>
          <w14:ligatures w14:val="standardContextual"/>
        </w:rPr>
        <w:t xml:space="preserve">ithin the ITU Radio Regulations, portions of the 2500–2690 MHz range corresponding to 3GPP Band 7 include a primary Mobile-Satellite Service (MSS) allocation in </w:t>
      </w:r>
      <w:proofErr w:type="gramStart"/>
      <w:r w:rsidR="004B6765" w:rsidRPr="00A86804">
        <w:rPr>
          <w:rFonts w:ascii="Arial" w:eastAsiaTheme="minorHAnsi" w:hAnsi="Arial" w:cs="Arial"/>
          <w:kern w:val="2"/>
          <w:sz w:val="22"/>
          <w:szCs w:val="22"/>
          <w:lang w:eastAsia="en-US"/>
          <w14:ligatures w14:val="standardContextual"/>
        </w:rPr>
        <w:t>Region</w:t>
      </w:r>
      <w:proofErr w:type="gramEnd"/>
      <w:r w:rsidR="004B6765" w:rsidRPr="00A86804">
        <w:rPr>
          <w:rFonts w:ascii="Arial" w:eastAsiaTheme="minorHAnsi" w:hAnsi="Arial" w:cs="Arial"/>
          <w:kern w:val="2"/>
          <w:sz w:val="22"/>
          <w:szCs w:val="22"/>
          <w:lang w:eastAsia="en-US"/>
          <w14:ligatures w14:val="standardContextual"/>
        </w:rPr>
        <w:t xml:space="preserve"> 3 (2500–2520 MHz space-to-Earth and 2670–2690 MHz Earth-to-space). While several Region 3 administrations implement this MSS allocation, others, including Australia, have designated the entire 2500–2690 MHz range for IMT under national regulations. </w:t>
      </w:r>
    </w:p>
    <w:p w14:paraId="0CD1BE06" w14:textId="44A08B0F" w:rsidR="004B6765" w:rsidRPr="00A86804" w:rsidRDefault="00C21592"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lang w:eastAsia="en-US"/>
          <w14:ligatures w14:val="standardContextual"/>
        </w:rPr>
        <w:t>Consequently</w:t>
      </w:r>
      <w:r w:rsidR="004B6765" w:rsidRPr="00A86804">
        <w:rPr>
          <w:rFonts w:ascii="Arial" w:eastAsiaTheme="minorHAnsi" w:hAnsi="Arial" w:cs="Arial"/>
          <w:kern w:val="2"/>
          <w:sz w:val="22"/>
          <w:szCs w:val="22"/>
          <w:lang w:eastAsia="en-US"/>
          <w14:ligatures w14:val="standardContextual"/>
        </w:rPr>
        <w:t>, any NTN use of Band 7 would have to remain compatible not only with national IMT frameworks such as Australia’s, but also with the MSS protection and coordination obligations that continue to apply for neighbouring Region 3 administrations where MSS is deployed.</w:t>
      </w:r>
    </w:p>
    <w:p w14:paraId="707424FC" w14:textId="77777777" w:rsidR="004B6765" w:rsidRPr="00A86804" w:rsidRDefault="004B6765"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lang w:eastAsia="en-US"/>
          <w14:ligatures w14:val="standardContextual"/>
        </w:rPr>
        <w:t xml:space="preserve">Existing MSS systems operating under this allocation are required to comply with the full set of ITU-R regulatory constraints, including: protection of other primary services, adherence to coordination and notification procedures under Articles 9 and 11, compliance with applicable PFD and OOBE limits, as well as cross-border compatibility with adjacent IMT allocations. </w:t>
      </w:r>
    </w:p>
    <w:p w14:paraId="636A904D" w14:textId="1DBB8DE3" w:rsidR="00A86804" w:rsidRPr="00A86804" w:rsidRDefault="00A86804"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u w:val="single"/>
          <w:lang w:eastAsia="en-US"/>
          <w14:ligatures w14:val="standardContextual"/>
        </w:rPr>
        <w:t>Table 5 below</w:t>
      </w:r>
      <w:r w:rsidRPr="00A86804">
        <w:rPr>
          <w:rFonts w:ascii="Arial" w:eastAsiaTheme="minorHAnsi" w:hAnsi="Arial" w:cs="Arial"/>
          <w:kern w:val="2"/>
          <w:sz w:val="22"/>
          <w:szCs w:val="22"/>
          <w:lang w:eastAsia="en-US"/>
          <w14:ligatures w14:val="standardContextual"/>
        </w:rPr>
        <w:t xml:space="preserve"> is an extract of ITU´s WP4C </w:t>
      </w:r>
      <w:r w:rsidRPr="00A86804">
        <w:rPr>
          <w:rFonts w:ascii="Arial" w:eastAsiaTheme="minorHAnsi" w:hAnsi="Arial" w:cs="Arial"/>
          <w:i/>
          <w:iCs/>
          <w:kern w:val="2"/>
          <w:sz w:val="22"/>
          <w:szCs w:val="22"/>
          <w:lang w:eastAsia="en-US"/>
          <w14:ligatures w14:val="standardContextual"/>
        </w:rPr>
        <w:t>Annex 8 on Working document on sharing and compatibility studies under WRC-27 agenda item 1.13</w:t>
      </w:r>
      <w:r w:rsidRPr="00A86804">
        <w:rPr>
          <w:rFonts w:ascii="Arial" w:eastAsiaTheme="minorHAnsi" w:hAnsi="Arial" w:cs="Arial"/>
          <w:kern w:val="2"/>
          <w:sz w:val="22"/>
          <w:szCs w:val="22"/>
          <w:lang w:eastAsia="en-US"/>
          <w14:ligatures w14:val="standardContextual"/>
        </w:rPr>
        <w:t>, which illustrates the multiple interference scenarios under consideration for the NTN use of n7. Where DC-MSS-IMT reflects the service typology proposed for a WID.</w:t>
      </w:r>
    </w:p>
    <w:p w14:paraId="06816D42" w14:textId="3BCBAA55" w:rsidR="00A86804" w:rsidRPr="00A86804" w:rsidRDefault="00A86804" w:rsidP="00A86804">
      <w:pPr>
        <w:pStyle w:val="TableNo"/>
      </w:pPr>
      <w:r w:rsidRPr="00A86804">
        <w:t>TABLE 5</w:t>
      </w:r>
    </w:p>
    <w:p w14:paraId="2E4933AD" w14:textId="77777777" w:rsidR="00A86804" w:rsidRPr="00A86804" w:rsidRDefault="00A86804" w:rsidP="00A86804">
      <w:pPr>
        <w:pStyle w:val="Tabletitle"/>
      </w:pPr>
      <w:r w:rsidRPr="00A86804">
        <w:t>The interference scenarios in the frequency range 2500-2690 MHz</w:t>
      </w:r>
    </w:p>
    <w:tbl>
      <w:tblPr>
        <w:tblStyle w:val="TableGrid"/>
        <w:tblW w:w="4416" w:type="pct"/>
        <w:tblInd w:w="846" w:type="dxa"/>
        <w:tblLook w:val="04A0" w:firstRow="1" w:lastRow="0" w:firstColumn="1" w:lastColumn="0" w:noHBand="0" w:noVBand="1"/>
      </w:tblPr>
      <w:tblGrid>
        <w:gridCol w:w="796"/>
        <w:gridCol w:w="7167"/>
      </w:tblGrid>
      <w:tr w:rsidR="00A86804" w:rsidRPr="00A86804" w14:paraId="58E34695" w14:textId="77777777" w:rsidTr="00065076">
        <w:tc>
          <w:tcPr>
            <w:tcW w:w="500" w:type="pct"/>
          </w:tcPr>
          <w:p w14:paraId="49503E40" w14:textId="77777777" w:rsidR="00A86804" w:rsidRPr="00A86804" w:rsidRDefault="00A86804" w:rsidP="00065076">
            <w:pPr>
              <w:pStyle w:val="Tabletext"/>
              <w:ind w:left="-117"/>
              <w:jc w:val="center"/>
              <w:rPr>
                <w:b/>
                <w:bCs/>
              </w:rPr>
            </w:pPr>
            <w:r w:rsidRPr="00A86804">
              <w:rPr>
                <w:b/>
                <w:bCs/>
              </w:rPr>
              <w:t>№</w:t>
            </w:r>
          </w:p>
        </w:tc>
        <w:tc>
          <w:tcPr>
            <w:tcW w:w="4500" w:type="pct"/>
          </w:tcPr>
          <w:p w14:paraId="26710541" w14:textId="77777777" w:rsidR="00A86804" w:rsidRPr="00A86804" w:rsidRDefault="00A86804" w:rsidP="00065076">
            <w:pPr>
              <w:pStyle w:val="Tabletext"/>
              <w:tabs>
                <w:tab w:val="left" w:pos="1238"/>
              </w:tabs>
              <w:ind w:left="35"/>
              <w:jc w:val="center"/>
              <w:rPr>
                <w:b/>
                <w:bCs/>
              </w:rPr>
            </w:pPr>
            <w:r w:rsidRPr="00A86804">
              <w:rPr>
                <w:b/>
                <w:bCs/>
              </w:rPr>
              <w:t>Scenarios</w:t>
            </w:r>
          </w:p>
        </w:tc>
      </w:tr>
      <w:tr w:rsidR="00A86804" w:rsidRPr="00A86804" w14:paraId="02B83D60" w14:textId="77777777" w:rsidTr="00065076">
        <w:tc>
          <w:tcPr>
            <w:tcW w:w="5000" w:type="pct"/>
            <w:gridSpan w:val="2"/>
          </w:tcPr>
          <w:p w14:paraId="2217B645" w14:textId="77777777" w:rsidR="00A86804" w:rsidRPr="00A86804" w:rsidRDefault="00A86804" w:rsidP="00065076">
            <w:pPr>
              <w:pStyle w:val="Tabletext"/>
              <w:tabs>
                <w:tab w:val="left" w:pos="1238"/>
              </w:tabs>
              <w:ind w:left="35"/>
              <w:jc w:val="center"/>
              <w:rPr>
                <w:u w:val="single"/>
              </w:rPr>
            </w:pPr>
            <w:r w:rsidRPr="00A86804">
              <w:rPr>
                <w:u w:val="single"/>
              </w:rPr>
              <w:t>In-band</w:t>
            </w:r>
          </w:p>
        </w:tc>
      </w:tr>
      <w:tr w:rsidR="00A86804" w:rsidRPr="00A86804" w14:paraId="46E2CDB0" w14:textId="77777777" w:rsidTr="00065076">
        <w:tc>
          <w:tcPr>
            <w:tcW w:w="500" w:type="pct"/>
          </w:tcPr>
          <w:p w14:paraId="71174A36" w14:textId="77777777" w:rsidR="00A86804" w:rsidRPr="00A86804" w:rsidRDefault="00A86804" w:rsidP="00065076">
            <w:pPr>
              <w:pStyle w:val="Tabletext"/>
              <w:ind w:left="-117"/>
              <w:jc w:val="center"/>
            </w:pPr>
            <w:r w:rsidRPr="00A86804">
              <w:t>1</w:t>
            </w:r>
          </w:p>
        </w:tc>
        <w:tc>
          <w:tcPr>
            <w:tcW w:w="4500" w:type="pct"/>
          </w:tcPr>
          <w:p w14:paraId="2586FE9F" w14:textId="77777777" w:rsidR="00A86804" w:rsidRPr="00890330" w:rsidRDefault="00A86804" w:rsidP="00065076">
            <w:pPr>
              <w:pStyle w:val="Tabletext"/>
              <w:tabs>
                <w:tab w:val="left" w:pos="1238"/>
              </w:tabs>
              <w:ind w:left="35"/>
              <w:rPr>
                <w:lang w:val="en-GB"/>
              </w:rPr>
            </w:pPr>
            <w:r w:rsidRPr="00890330">
              <w:rPr>
                <w:lang w:val="en-GB"/>
              </w:rPr>
              <w:t>From DC-MSS-IMT space station transmitters into HIBS BSs receivers</w:t>
            </w:r>
          </w:p>
        </w:tc>
      </w:tr>
      <w:tr w:rsidR="00A86804" w:rsidRPr="00A86804" w14:paraId="0203C703" w14:textId="77777777" w:rsidTr="00065076">
        <w:tc>
          <w:tcPr>
            <w:tcW w:w="500" w:type="pct"/>
          </w:tcPr>
          <w:p w14:paraId="05F9AE0F" w14:textId="77777777" w:rsidR="00A86804" w:rsidRPr="00A86804" w:rsidRDefault="00A86804" w:rsidP="00065076">
            <w:pPr>
              <w:pStyle w:val="Tabletext"/>
              <w:ind w:left="-117"/>
              <w:jc w:val="center"/>
            </w:pPr>
            <w:r w:rsidRPr="00A86804">
              <w:t>2</w:t>
            </w:r>
          </w:p>
        </w:tc>
        <w:tc>
          <w:tcPr>
            <w:tcW w:w="4500" w:type="pct"/>
          </w:tcPr>
          <w:p w14:paraId="5697361C" w14:textId="77777777" w:rsidR="00A86804" w:rsidRPr="00717A4E" w:rsidRDefault="00A86804" w:rsidP="00065076">
            <w:pPr>
              <w:pStyle w:val="Tabletext"/>
              <w:tabs>
                <w:tab w:val="left" w:pos="1238"/>
              </w:tabs>
              <w:ind w:left="35"/>
              <w:rPr>
                <w:lang w:val="en-GB"/>
              </w:rPr>
            </w:pPr>
            <w:r w:rsidRPr="00890330">
              <w:t>From DC-MSS-IMT space station transmitters into FS station receivers</w:t>
            </w:r>
          </w:p>
        </w:tc>
      </w:tr>
      <w:tr w:rsidR="00A86804" w:rsidRPr="00A86804" w14:paraId="7DE83B21" w14:textId="77777777" w:rsidTr="00065076">
        <w:tc>
          <w:tcPr>
            <w:tcW w:w="500" w:type="pct"/>
          </w:tcPr>
          <w:p w14:paraId="65F674B6" w14:textId="77777777" w:rsidR="00A86804" w:rsidRPr="00A86804" w:rsidRDefault="00A86804" w:rsidP="00065076">
            <w:pPr>
              <w:pStyle w:val="Tabletext"/>
              <w:ind w:left="-117"/>
              <w:jc w:val="center"/>
            </w:pPr>
            <w:r w:rsidRPr="00A86804">
              <w:t>3</w:t>
            </w:r>
          </w:p>
        </w:tc>
        <w:tc>
          <w:tcPr>
            <w:tcW w:w="4500" w:type="pct"/>
          </w:tcPr>
          <w:p w14:paraId="3AE853EB" w14:textId="77777777" w:rsidR="00A86804" w:rsidRPr="00717A4E" w:rsidRDefault="00A86804" w:rsidP="00065076">
            <w:pPr>
              <w:pStyle w:val="Tabletext"/>
              <w:tabs>
                <w:tab w:val="left" w:pos="1238"/>
              </w:tabs>
              <w:ind w:left="35"/>
              <w:rPr>
                <w:lang w:val="en-GB"/>
              </w:rPr>
            </w:pPr>
            <w:r w:rsidRPr="00890330">
              <w:rPr>
                <w:bCs/>
              </w:rPr>
              <w:t>From DC-MSS-IMT space station transmitters into MSS space station receivers in the opposite direction of transmission</w:t>
            </w:r>
          </w:p>
        </w:tc>
      </w:tr>
      <w:tr w:rsidR="00A86804" w:rsidRPr="00A86804" w14:paraId="14C59C70" w14:textId="77777777" w:rsidTr="00065076">
        <w:tc>
          <w:tcPr>
            <w:tcW w:w="500" w:type="pct"/>
          </w:tcPr>
          <w:p w14:paraId="51315C3F" w14:textId="77777777" w:rsidR="00A86804" w:rsidRPr="00A86804" w:rsidRDefault="00A86804" w:rsidP="00065076">
            <w:pPr>
              <w:pStyle w:val="Tabletext"/>
              <w:ind w:left="-117"/>
              <w:jc w:val="center"/>
              <w:rPr>
                <w:rFonts w:eastAsia="Yu Mincho"/>
                <w:lang w:eastAsia="ja-JP"/>
              </w:rPr>
            </w:pPr>
            <w:r w:rsidRPr="00A86804">
              <w:rPr>
                <w:rFonts w:eastAsia="Yu Mincho"/>
                <w:lang w:eastAsia="ja-JP"/>
              </w:rPr>
              <w:t>4</w:t>
            </w:r>
          </w:p>
        </w:tc>
        <w:tc>
          <w:tcPr>
            <w:tcW w:w="4500" w:type="pct"/>
          </w:tcPr>
          <w:p w14:paraId="6DACAF15" w14:textId="77777777" w:rsidR="00A86804" w:rsidRPr="00717A4E" w:rsidRDefault="00A86804" w:rsidP="00065076">
            <w:pPr>
              <w:pStyle w:val="Tabletext"/>
              <w:tabs>
                <w:tab w:val="left" w:pos="1238"/>
              </w:tabs>
              <w:ind w:left="35"/>
              <w:rPr>
                <w:bCs/>
                <w:lang w:val="en-GB"/>
              </w:rPr>
            </w:pPr>
            <w:r w:rsidRPr="00890330">
              <w:rPr>
                <w:bCs/>
              </w:rPr>
              <w:t xml:space="preserve">From DC-MSS-IMT IMT </w:t>
            </w:r>
            <w:r w:rsidRPr="00890330">
              <w:rPr>
                <w:rFonts w:eastAsia="Yu Mincho"/>
                <w:bCs/>
                <w:lang w:eastAsia="ja-JP"/>
              </w:rPr>
              <w:t>UE</w:t>
            </w:r>
            <w:r w:rsidRPr="00890330">
              <w:rPr>
                <w:bCs/>
              </w:rPr>
              <w:t xml:space="preserve"> transmitters into MSS earth station receives in the opposite direction of transmission under maritime scenarios</w:t>
            </w:r>
          </w:p>
        </w:tc>
      </w:tr>
      <w:tr w:rsidR="00A86804" w:rsidRPr="00A86804" w14:paraId="280482EA" w14:textId="77777777" w:rsidTr="00065076">
        <w:tc>
          <w:tcPr>
            <w:tcW w:w="500" w:type="pct"/>
          </w:tcPr>
          <w:p w14:paraId="7C0F2610" w14:textId="77777777" w:rsidR="00A86804" w:rsidRPr="00A86804" w:rsidRDefault="00A86804" w:rsidP="00065076">
            <w:pPr>
              <w:pStyle w:val="Tabletext"/>
              <w:ind w:left="-117"/>
              <w:jc w:val="center"/>
              <w:rPr>
                <w:rFonts w:eastAsia="Yu Mincho"/>
              </w:rPr>
            </w:pPr>
            <w:r w:rsidRPr="00A86804">
              <w:rPr>
                <w:rFonts w:eastAsia="Yu Mincho"/>
              </w:rPr>
              <w:t>5</w:t>
            </w:r>
          </w:p>
        </w:tc>
        <w:tc>
          <w:tcPr>
            <w:tcW w:w="4500" w:type="pct"/>
          </w:tcPr>
          <w:p w14:paraId="6C34288C" w14:textId="77777777" w:rsidR="00A86804" w:rsidRPr="00717A4E" w:rsidRDefault="00A86804" w:rsidP="00065076">
            <w:pPr>
              <w:pStyle w:val="Tabletext"/>
              <w:tabs>
                <w:tab w:val="left" w:pos="1238"/>
              </w:tabs>
              <w:ind w:left="35"/>
              <w:rPr>
                <w:bCs/>
                <w:lang w:val="en-GB"/>
              </w:rPr>
            </w:pPr>
            <w:r w:rsidRPr="00890330">
              <w:rPr>
                <w:bCs/>
              </w:rPr>
              <w:t>From DC-MSS-IMT space station transmitters into BSS earth station receivers</w:t>
            </w:r>
          </w:p>
        </w:tc>
      </w:tr>
      <w:tr w:rsidR="00A86804" w:rsidRPr="00A86804" w14:paraId="52861466" w14:textId="77777777" w:rsidTr="00065076">
        <w:tc>
          <w:tcPr>
            <w:tcW w:w="500" w:type="pct"/>
          </w:tcPr>
          <w:p w14:paraId="501F0ED1" w14:textId="77777777" w:rsidR="00A86804" w:rsidRPr="00A86804" w:rsidRDefault="00A86804" w:rsidP="00065076">
            <w:pPr>
              <w:pStyle w:val="Tabletext"/>
              <w:ind w:left="-117"/>
              <w:jc w:val="center"/>
              <w:rPr>
                <w:rFonts w:eastAsia="Yu Mincho"/>
              </w:rPr>
            </w:pPr>
            <w:r w:rsidRPr="00A86804">
              <w:rPr>
                <w:rFonts w:eastAsia="Yu Mincho"/>
              </w:rPr>
              <w:t>6</w:t>
            </w:r>
          </w:p>
        </w:tc>
        <w:tc>
          <w:tcPr>
            <w:tcW w:w="4500" w:type="pct"/>
          </w:tcPr>
          <w:p w14:paraId="52885086" w14:textId="77777777" w:rsidR="00A86804" w:rsidRPr="00717A4E" w:rsidRDefault="00A86804" w:rsidP="00065076">
            <w:pPr>
              <w:pStyle w:val="Tabletext"/>
              <w:tabs>
                <w:tab w:val="left" w:pos="1238"/>
              </w:tabs>
              <w:ind w:left="35"/>
              <w:rPr>
                <w:bCs/>
                <w:lang w:val="en-GB"/>
              </w:rPr>
            </w:pPr>
            <w:r w:rsidRPr="00890330">
              <w:rPr>
                <w:bCs/>
              </w:rPr>
              <w:t>From DC-MSS-IMT space station transmitters into BSS space station receivers</w:t>
            </w:r>
          </w:p>
        </w:tc>
      </w:tr>
      <w:tr w:rsidR="00A86804" w:rsidRPr="00A86804" w14:paraId="547D5C5F" w14:textId="77777777" w:rsidTr="00065076">
        <w:tc>
          <w:tcPr>
            <w:tcW w:w="5000" w:type="pct"/>
            <w:gridSpan w:val="2"/>
          </w:tcPr>
          <w:p w14:paraId="7CC96039" w14:textId="77777777" w:rsidR="00A86804" w:rsidRPr="00A86804" w:rsidRDefault="00A86804" w:rsidP="00065076">
            <w:pPr>
              <w:pStyle w:val="Tabletext"/>
              <w:tabs>
                <w:tab w:val="left" w:pos="1238"/>
              </w:tabs>
              <w:ind w:left="35"/>
              <w:jc w:val="center"/>
              <w:rPr>
                <w:bCs/>
                <w:u w:val="single"/>
              </w:rPr>
            </w:pPr>
            <w:r w:rsidRPr="00A86804">
              <w:rPr>
                <w:u w:val="single"/>
              </w:rPr>
              <w:t>Adjacent-band</w:t>
            </w:r>
          </w:p>
        </w:tc>
      </w:tr>
      <w:tr w:rsidR="00A86804" w:rsidRPr="00A86804" w14:paraId="70A2FCB4" w14:textId="77777777" w:rsidTr="00065076">
        <w:tc>
          <w:tcPr>
            <w:tcW w:w="500" w:type="pct"/>
          </w:tcPr>
          <w:p w14:paraId="684D977A" w14:textId="77777777" w:rsidR="00A86804" w:rsidRPr="00A86804" w:rsidRDefault="00A86804" w:rsidP="00065076">
            <w:pPr>
              <w:pStyle w:val="Tabletext"/>
              <w:ind w:left="-117"/>
              <w:jc w:val="center"/>
              <w:rPr>
                <w:rFonts w:eastAsia="Yu Mincho"/>
                <w:lang w:eastAsia="ja-JP"/>
              </w:rPr>
            </w:pPr>
            <w:r w:rsidRPr="00A86804">
              <w:rPr>
                <w:rFonts w:eastAsia="Yu Mincho"/>
                <w:lang w:eastAsia="ja-JP"/>
              </w:rPr>
              <w:t>7</w:t>
            </w:r>
          </w:p>
        </w:tc>
        <w:tc>
          <w:tcPr>
            <w:tcW w:w="4500" w:type="pct"/>
          </w:tcPr>
          <w:p w14:paraId="03B923E7" w14:textId="77777777" w:rsidR="00A86804" w:rsidRPr="00717A4E" w:rsidRDefault="00A86804" w:rsidP="00065076">
            <w:pPr>
              <w:pStyle w:val="Tabletext"/>
              <w:tabs>
                <w:tab w:val="left" w:pos="1238"/>
              </w:tabs>
              <w:ind w:left="35"/>
              <w:rPr>
                <w:bCs/>
                <w:lang w:val="en-GB"/>
              </w:rPr>
            </w:pPr>
            <w:r w:rsidRPr="00890330">
              <w:rPr>
                <w:bCs/>
              </w:rPr>
              <w:t xml:space="preserve">From DC-MSS-IMT space station transmitters into </w:t>
            </w:r>
            <w:r w:rsidRPr="00890330">
              <w:t>ARNS</w:t>
            </w:r>
            <w:r w:rsidRPr="00890330">
              <w:rPr>
                <w:bCs/>
              </w:rPr>
              <w:t xml:space="preserve"> station receivers</w:t>
            </w:r>
          </w:p>
        </w:tc>
      </w:tr>
      <w:tr w:rsidR="00A86804" w:rsidRPr="00A86804" w14:paraId="0CA96DF2" w14:textId="77777777" w:rsidTr="00065076">
        <w:tc>
          <w:tcPr>
            <w:tcW w:w="500" w:type="pct"/>
          </w:tcPr>
          <w:p w14:paraId="37C5708A" w14:textId="77777777" w:rsidR="00A86804" w:rsidRPr="00A86804" w:rsidRDefault="00A86804" w:rsidP="00065076">
            <w:pPr>
              <w:pStyle w:val="Tabletext"/>
              <w:ind w:left="-117"/>
              <w:jc w:val="center"/>
              <w:rPr>
                <w:rFonts w:eastAsia="Yu Mincho"/>
                <w:lang w:eastAsia="ja-JP"/>
              </w:rPr>
            </w:pPr>
            <w:r w:rsidRPr="00A86804">
              <w:rPr>
                <w:rFonts w:eastAsia="Yu Mincho"/>
                <w:lang w:eastAsia="ja-JP"/>
              </w:rPr>
              <w:t>8</w:t>
            </w:r>
          </w:p>
        </w:tc>
        <w:tc>
          <w:tcPr>
            <w:tcW w:w="4500" w:type="pct"/>
          </w:tcPr>
          <w:p w14:paraId="2C7B2E3C" w14:textId="77777777" w:rsidR="00A86804" w:rsidRPr="00717A4E" w:rsidRDefault="00A86804" w:rsidP="00065076">
            <w:pPr>
              <w:pStyle w:val="Tabletext"/>
              <w:tabs>
                <w:tab w:val="left" w:pos="1238"/>
              </w:tabs>
              <w:ind w:left="35"/>
              <w:rPr>
                <w:lang w:val="en-GB"/>
              </w:rPr>
            </w:pPr>
            <w:r w:rsidRPr="00890330">
              <w:rPr>
                <w:bCs/>
              </w:rPr>
              <w:t>From DC-MSS-IMT space station transmitters into RAS station receivers</w:t>
            </w:r>
          </w:p>
        </w:tc>
      </w:tr>
      <w:tr w:rsidR="00A86804" w:rsidRPr="00A86804" w14:paraId="7A64D203" w14:textId="77777777" w:rsidTr="00065076">
        <w:tc>
          <w:tcPr>
            <w:tcW w:w="500" w:type="pct"/>
          </w:tcPr>
          <w:p w14:paraId="5AEB8E97" w14:textId="77777777" w:rsidR="00A86804" w:rsidRPr="00A86804" w:rsidRDefault="00A86804" w:rsidP="00065076">
            <w:pPr>
              <w:pStyle w:val="Tabletext"/>
              <w:tabs>
                <w:tab w:val="clear" w:pos="851"/>
              </w:tabs>
              <w:ind w:left="-117"/>
              <w:jc w:val="center"/>
              <w:rPr>
                <w:rFonts w:eastAsia="Yu Mincho"/>
                <w:lang w:eastAsia="ja-JP"/>
              </w:rPr>
            </w:pPr>
            <w:r w:rsidRPr="00A86804">
              <w:rPr>
                <w:rFonts w:eastAsia="Yu Mincho"/>
                <w:lang w:eastAsia="ja-JP"/>
              </w:rPr>
              <w:t>9</w:t>
            </w:r>
          </w:p>
        </w:tc>
        <w:tc>
          <w:tcPr>
            <w:tcW w:w="4500" w:type="pct"/>
          </w:tcPr>
          <w:p w14:paraId="19CA211B" w14:textId="77777777" w:rsidR="00A86804" w:rsidRPr="00717A4E" w:rsidRDefault="00A86804" w:rsidP="00065076">
            <w:pPr>
              <w:pStyle w:val="Tabletext"/>
              <w:tabs>
                <w:tab w:val="clear" w:pos="851"/>
                <w:tab w:val="clear" w:pos="1134"/>
                <w:tab w:val="left" w:pos="1238"/>
              </w:tabs>
              <w:ind w:left="35"/>
              <w:rPr>
                <w:bCs/>
                <w:lang w:val="en-GB"/>
              </w:rPr>
            </w:pPr>
            <w:r w:rsidRPr="00890330">
              <w:rPr>
                <w:bCs/>
              </w:rPr>
              <w:t>From DC-MSS-IMT space station transmitters into MSS Earth station receivers</w:t>
            </w:r>
          </w:p>
        </w:tc>
      </w:tr>
    </w:tbl>
    <w:p w14:paraId="48E4A457" w14:textId="77777777" w:rsidR="00A86804" w:rsidRPr="00A86804" w:rsidRDefault="00A86804" w:rsidP="004B6765">
      <w:pPr>
        <w:pStyle w:val="NormalWeb"/>
        <w:jc w:val="both"/>
        <w:rPr>
          <w:rFonts w:ascii="Arial" w:eastAsiaTheme="minorHAnsi" w:hAnsi="Arial" w:cs="Arial"/>
          <w:kern w:val="2"/>
          <w:sz w:val="22"/>
          <w:szCs w:val="22"/>
          <w:lang w:eastAsia="en-US"/>
          <w14:ligatures w14:val="standardContextual"/>
        </w:rPr>
      </w:pPr>
    </w:p>
    <w:p w14:paraId="5849FC48" w14:textId="77777777" w:rsidR="00DE6AAD" w:rsidRPr="00A86804" w:rsidRDefault="004B6765"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lang w:eastAsia="en-US"/>
          <w14:ligatures w14:val="standardContextual"/>
        </w:rPr>
        <w:t>By contrast, introducing a new</w:t>
      </w:r>
      <w:r w:rsidR="00DE6AAD" w:rsidRPr="00A86804">
        <w:rPr>
          <w:rFonts w:ascii="Arial" w:eastAsiaTheme="minorHAnsi" w:hAnsi="Arial" w:cs="Arial"/>
          <w:kern w:val="2"/>
          <w:sz w:val="22"/>
          <w:szCs w:val="22"/>
          <w:lang w:eastAsia="en-US"/>
          <w14:ligatures w14:val="standardContextual"/>
        </w:rPr>
        <w:t xml:space="preserve"> non-conforming (Art.4.4 of RR)</w:t>
      </w:r>
      <w:r w:rsidRPr="00A86804">
        <w:rPr>
          <w:rFonts w:ascii="Arial" w:eastAsiaTheme="minorHAnsi" w:hAnsi="Arial" w:cs="Arial"/>
          <w:kern w:val="2"/>
          <w:sz w:val="22"/>
          <w:szCs w:val="22"/>
          <w:lang w:eastAsia="en-US"/>
          <w14:ligatures w14:val="standardContextual"/>
        </w:rPr>
        <w:t xml:space="preserve"> satellite-based NTN service (de facto MSS) in the same frequency range on the basis of a national Mobile Service allocation, without relying on the MSS allocation or bearing equivalent ITU-R obligations, would create a regulatory asymmetry, and operate contrary to the provisions in Article 21 of ITU´s Radio Regulations. </w:t>
      </w:r>
    </w:p>
    <w:p w14:paraId="2DDB6080" w14:textId="4DFAE2D7" w:rsidR="005A16B6" w:rsidRPr="00A86804" w:rsidRDefault="004B6765" w:rsidP="004B6765">
      <w:pPr>
        <w:pStyle w:val="NormalWeb"/>
        <w:jc w:val="both"/>
        <w:rPr>
          <w:rFonts w:ascii="Arial" w:eastAsiaTheme="minorHAnsi" w:hAnsi="Arial" w:cs="Arial"/>
          <w:kern w:val="2"/>
          <w:sz w:val="22"/>
          <w:szCs w:val="22"/>
          <w:lang w:eastAsia="en-US"/>
          <w14:ligatures w14:val="standardContextual"/>
        </w:rPr>
      </w:pPr>
      <w:r w:rsidRPr="00A86804">
        <w:rPr>
          <w:rFonts w:ascii="Arial" w:eastAsiaTheme="minorHAnsi" w:hAnsi="Arial" w:cs="Arial"/>
          <w:kern w:val="2"/>
          <w:sz w:val="22"/>
          <w:szCs w:val="22"/>
          <w:lang w:eastAsia="en-US"/>
          <w14:ligatures w14:val="standardContextual"/>
        </w:rPr>
        <w:lastRenderedPageBreak/>
        <w:t xml:space="preserve">Such an arrangement would effectively modify the operational nature of satellite use in this band for a subset of </w:t>
      </w:r>
      <w:r w:rsidR="00DE6AAD" w:rsidRPr="00A86804">
        <w:rPr>
          <w:rFonts w:ascii="Arial" w:eastAsiaTheme="minorHAnsi" w:hAnsi="Arial" w:cs="Arial"/>
          <w:kern w:val="2"/>
          <w:sz w:val="22"/>
          <w:szCs w:val="22"/>
          <w:lang w:eastAsia="en-US"/>
          <w14:ligatures w14:val="standardContextual"/>
        </w:rPr>
        <w:t xml:space="preserve">privileged </w:t>
      </w:r>
      <w:r w:rsidRPr="00A86804">
        <w:rPr>
          <w:rFonts w:ascii="Arial" w:eastAsiaTheme="minorHAnsi" w:hAnsi="Arial" w:cs="Arial"/>
          <w:kern w:val="2"/>
          <w:sz w:val="22"/>
          <w:szCs w:val="22"/>
          <w:lang w:eastAsia="en-US"/>
          <w14:ligatures w14:val="standardContextual"/>
        </w:rPr>
        <w:t>systems, while</w:t>
      </w:r>
      <w:r w:rsidR="00DE6AAD" w:rsidRPr="00A86804">
        <w:rPr>
          <w:rFonts w:ascii="Arial" w:eastAsiaTheme="minorHAnsi" w:hAnsi="Arial" w:cs="Arial"/>
          <w:kern w:val="2"/>
          <w:sz w:val="22"/>
          <w:szCs w:val="22"/>
          <w:lang w:eastAsia="en-US"/>
          <w14:ligatures w14:val="standardContextual"/>
        </w:rPr>
        <w:t xml:space="preserve"> existing</w:t>
      </w:r>
      <w:r w:rsidRPr="00A86804">
        <w:rPr>
          <w:rFonts w:ascii="Arial" w:eastAsiaTheme="minorHAnsi" w:hAnsi="Arial" w:cs="Arial"/>
          <w:kern w:val="2"/>
          <w:sz w:val="22"/>
          <w:szCs w:val="22"/>
          <w:lang w:eastAsia="en-US"/>
          <w14:ligatures w14:val="standardContextual"/>
        </w:rPr>
        <w:t xml:space="preserve"> MSS operators remain bound by stricter international constraints. This </w:t>
      </w:r>
      <w:r w:rsidR="00DE6AAD" w:rsidRPr="00A86804">
        <w:rPr>
          <w:rFonts w:ascii="Arial" w:eastAsiaTheme="minorHAnsi" w:hAnsi="Arial" w:cs="Arial"/>
          <w:kern w:val="2"/>
          <w:sz w:val="22"/>
          <w:szCs w:val="22"/>
          <w:lang w:eastAsia="en-US"/>
          <w14:ligatures w14:val="standardContextual"/>
        </w:rPr>
        <w:t xml:space="preserve">may </w:t>
      </w:r>
      <w:r w:rsidRPr="00A86804">
        <w:rPr>
          <w:rFonts w:ascii="Arial" w:eastAsiaTheme="minorHAnsi" w:hAnsi="Arial" w:cs="Arial"/>
          <w:kern w:val="2"/>
          <w:sz w:val="22"/>
          <w:szCs w:val="22"/>
          <w:lang w:eastAsia="en-US"/>
          <w14:ligatures w14:val="standardContextual"/>
        </w:rPr>
        <w:t>raise</w:t>
      </w:r>
      <w:r w:rsidR="00DE6AAD" w:rsidRPr="00A86804">
        <w:rPr>
          <w:rFonts w:ascii="Arial" w:eastAsiaTheme="minorHAnsi" w:hAnsi="Arial" w:cs="Arial"/>
          <w:kern w:val="2"/>
          <w:sz w:val="22"/>
          <w:szCs w:val="22"/>
          <w:lang w:eastAsia="en-US"/>
          <w14:ligatures w14:val="standardContextual"/>
        </w:rPr>
        <w:t xml:space="preserve"> </w:t>
      </w:r>
      <w:r w:rsidRPr="00A86804">
        <w:rPr>
          <w:rFonts w:ascii="Arial" w:eastAsiaTheme="minorHAnsi" w:hAnsi="Arial" w:cs="Arial"/>
          <w:kern w:val="2"/>
          <w:sz w:val="22"/>
          <w:szCs w:val="22"/>
          <w:lang w:eastAsia="en-US"/>
          <w14:ligatures w14:val="standardContextual"/>
        </w:rPr>
        <w:t>concerns of potential anti-competitive effects and an uneven regulatory playing field between MSS systems operating under the Radio Regulations and NTN/MS deployments authorised only at national level.</w:t>
      </w:r>
    </w:p>
    <w:p w14:paraId="0A9BDD22" w14:textId="59A04670" w:rsidR="003938FB" w:rsidRPr="00A86804" w:rsidRDefault="003938FB" w:rsidP="004B6765">
      <w:pPr>
        <w:jc w:val="both"/>
        <w:rPr>
          <w:rFonts w:ascii="Arial" w:hAnsi="Arial" w:cs="Arial"/>
          <w:b/>
          <w:bCs/>
          <w:sz w:val="22"/>
          <w:szCs w:val="22"/>
        </w:rPr>
      </w:pPr>
      <w:r w:rsidRPr="00A86804">
        <w:rPr>
          <w:rFonts w:ascii="Arial" w:hAnsi="Arial" w:cs="Arial"/>
          <w:b/>
          <w:bCs/>
          <w:sz w:val="22"/>
          <w:szCs w:val="22"/>
        </w:rPr>
        <w:t>2.</w:t>
      </w:r>
      <w:r w:rsidR="00DE6AAD" w:rsidRPr="00A86804">
        <w:rPr>
          <w:rFonts w:ascii="Arial" w:hAnsi="Arial" w:cs="Arial"/>
          <w:b/>
          <w:bCs/>
          <w:sz w:val="22"/>
          <w:szCs w:val="22"/>
        </w:rPr>
        <w:t>3</w:t>
      </w:r>
      <w:r w:rsidRPr="00A86804">
        <w:rPr>
          <w:rFonts w:ascii="Arial" w:hAnsi="Arial" w:cs="Arial"/>
          <w:b/>
          <w:bCs/>
          <w:sz w:val="22"/>
          <w:szCs w:val="22"/>
        </w:rPr>
        <w:t xml:space="preserve"> Current national frameworks</w:t>
      </w:r>
    </w:p>
    <w:p w14:paraId="47A99A63" w14:textId="77777777" w:rsidR="00DE6AAD" w:rsidRPr="00A86804" w:rsidRDefault="003938FB" w:rsidP="00717A4E">
      <w:pPr>
        <w:spacing w:line="240" w:lineRule="auto"/>
        <w:jc w:val="both"/>
        <w:rPr>
          <w:rFonts w:ascii="Arial" w:hAnsi="Arial" w:cs="Arial"/>
          <w:sz w:val="22"/>
          <w:szCs w:val="22"/>
        </w:rPr>
      </w:pPr>
      <w:r w:rsidRPr="00A86804">
        <w:rPr>
          <w:rFonts w:ascii="Arial" w:hAnsi="Arial" w:cs="Arial"/>
          <w:sz w:val="22"/>
          <w:szCs w:val="22"/>
        </w:rPr>
        <w:t xml:space="preserve">Today, regulatory frameworks enabling NTN in MS bands are highly varied: in some </w:t>
      </w:r>
      <w:proofErr w:type="gramStart"/>
      <w:r w:rsidRPr="00A86804">
        <w:rPr>
          <w:rFonts w:ascii="Arial" w:hAnsi="Arial" w:cs="Arial"/>
          <w:sz w:val="22"/>
          <w:szCs w:val="22"/>
        </w:rPr>
        <w:t>cases</w:t>
      </w:r>
      <w:proofErr w:type="gramEnd"/>
      <w:r w:rsidRPr="00A86804">
        <w:rPr>
          <w:rFonts w:ascii="Arial" w:hAnsi="Arial" w:cs="Arial"/>
          <w:sz w:val="22"/>
          <w:szCs w:val="22"/>
        </w:rPr>
        <w:t xml:space="preserve"> experimental</w:t>
      </w:r>
      <w:r w:rsidR="00B24424" w:rsidRPr="00A86804">
        <w:rPr>
          <w:rFonts w:ascii="Arial" w:hAnsi="Arial" w:cs="Arial"/>
          <w:sz w:val="22"/>
          <w:szCs w:val="22"/>
        </w:rPr>
        <w:t xml:space="preserve"> and</w:t>
      </w:r>
      <w:r w:rsidRPr="00A86804">
        <w:rPr>
          <w:rFonts w:ascii="Arial" w:hAnsi="Arial" w:cs="Arial"/>
          <w:sz w:val="22"/>
          <w:szCs w:val="22"/>
        </w:rPr>
        <w:t xml:space="preserve"> </w:t>
      </w:r>
      <w:r w:rsidR="00DE6AAD" w:rsidRPr="00A86804">
        <w:rPr>
          <w:rFonts w:ascii="Arial" w:hAnsi="Arial" w:cs="Arial"/>
          <w:sz w:val="22"/>
          <w:szCs w:val="22"/>
        </w:rPr>
        <w:t>–</w:t>
      </w:r>
      <w:r w:rsidR="00B24424" w:rsidRPr="00A86804">
        <w:rPr>
          <w:rFonts w:ascii="Arial" w:hAnsi="Arial" w:cs="Arial"/>
          <w:sz w:val="22"/>
          <w:szCs w:val="22"/>
        </w:rPr>
        <w:t xml:space="preserve"> </w:t>
      </w:r>
      <w:r w:rsidRPr="00A86804">
        <w:rPr>
          <w:rFonts w:ascii="Arial" w:hAnsi="Arial" w:cs="Arial"/>
          <w:sz w:val="22"/>
          <w:szCs w:val="22"/>
        </w:rPr>
        <w:t>in</w:t>
      </w:r>
      <w:r w:rsidR="00DE6AAD" w:rsidRPr="00A86804">
        <w:rPr>
          <w:rFonts w:ascii="Arial" w:hAnsi="Arial" w:cs="Arial"/>
          <w:sz w:val="22"/>
          <w:szCs w:val="22"/>
        </w:rPr>
        <w:t xml:space="preserve"> </w:t>
      </w:r>
      <w:r w:rsidR="00B24424" w:rsidRPr="00A86804">
        <w:rPr>
          <w:rFonts w:ascii="Arial" w:hAnsi="Arial" w:cs="Arial"/>
          <w:sz w:val="22"/>
          <w:szCs w:val="22"/>
        </w:rPr>
        <w:t xml:space="preserve">most </w:t>
      </w:r>
      <w:r w:rsidR="00DE6AAD" w:rsidRPr="00A86804">
        <w:rPr>
          <w:rFonts w:ascii="Arial" w:hAnsi="Arial" w:cs="Arial"/>
          <w:sz w:val="22"/>
          <w:szCs w:val="22"/>
        </w:rPr>
        <w:t>–</w:t>
      </w:r>
      <w:r w:rsidRPr="00A86804">
        <w:rPr>
          <w:rFonts w:ascii="Arial" w:hAnsi="Arial" w:cs="Arial"/>
          <w:sz w:val="22"/>
          <w:szCs w:val="22"/>
        </w:rPr>
        <w:t xml:space="preserve"> operating</w:t>
      </w:r>
      <w:r w:rsidR="00DE6AAD" w:rsidRPr="00A86804">
        <w:rPr>
          <w:rFonts w:ascii="Arial" w:hAnsi="Arial" w:cs="Arial"/>
          <w:sz w:val="22"/>
          <w:szCs w:val="22"/>
        </w:rPr>
        <w:t xml:space="preserve"> </w:t>
      </w:r>
      <w:r w:rsidRPr="00A86804">
        <w:rPr>
          <w:rFonts w:ascii="Arial" w:hAnsi="Arial" w:cs="Arial"/>
          <w:sz w:val="22"/>
          <w:szCs w:val="22"/>
        </w:rPr>
        <w:t>under no-protection/no-interference conditions (RR No. 4.4)</w:t>
      </w:r>
      <w:r w:rsidR="00B24424" w:rsidRPr="00A86804">
        <w:rPr>
          <w:rFonts w:ascii="Arial" w:hAnsi="Arial" w:cs="Arial"/>
          <w:sz w:val="22"/>
          <w:szCs w:val="22"/>
        </w:rPr>
        <w:t xml:space="preserve"> which risks commercial and regulatory certainty</w:t>
      </w:r>
      <w:r w:rsidR="00DE6AAD" w:rsidRPr="00A86804">
        <w:rPr>
          <w:rFonts w:ascii="Arial" w:hAnsi="Arial" w:cs="Arial"/>
          <w:sz w:val="22"/>
          <w:szCs w:val="22"/>
        </w:rPr>
        <w:t xml:space="preserve"> (this unplanned use of Art. 4.4 in also being considered within ITU Satellite issues in the current cycle). </w:t>
      </w:r>
    </w:p>
    <w:p w14:paraId="7CC63000" w14:textId="74BB11DF" w:rsidR="00F268A6" w:rsidRPr="00A86804" w:rsidRDefault="00B24424" w:rsidP="00717A4E">
      <w:pPr>
        <w:spacing w:line="240" w:lineRule="auto"/>
        <w:jc w:val="both"/>
        <w:rPr>
          <w:rFonts w:ascii="Arial" w:hAnsi="Arial" w:cs="Arial"/>
          <w:sz w:val="22"/>
          <w:szCs w:val="22"/>
        </w:rPr>
      </w:pPr>
      <w:r w:rsidRPr="00A86804">
        <w:rPr>
          <w:rFonts w:ascii="Arial" w:hAnsi="Arial" w:cs="Arial"/>
          <w:sz w:val="22"/>
          <w:szCs w:val="22"/>
        </w:rPr>
        <w:t>I</w:t>
      </w:r>
      <w:r w:rsidR="003938FB" w:rsidRPr="00A86804">
        <w:rPr>
          <w:rFonts w:ascii="Arial" w:hAnsi="Arial" w:cs="Arial"/>
          <w:sz w:val="22"/>
          <w:szCs w:val="22"/>
        </w:rPr>
        <w:t>n others</w:t>
      </w:r>
      <w:r w:rsidRPr="00A86804">
        <w:rPr>
          <w:rFonts w:ascii="Arial" w:hAnsi="Arial" w:cs="Arial"/>
          <w:sz w:val="22"/>
          <w:szCs w:val="22"/>
        </w:rPr>
        <w:t>, this type of deployment is</w:t>
      </w:r>
      <w:r w:rsidR="003938FB" w:rsidRPr="00A86804">
        <w:rPr>
          <w:rFonts w:ascii="Arial" w:hAnsi="Arial" w:cs="Arial"/>
          <w:sz w:val="22"/>
          <w:szCs w:val="22"/>
        </w:rPr>
        <w:t xml:space="preserve"> explicitly restricted</w:t>
      </w:r>
      <w:r w:rsidR="00DE6AAD" w:rsidRPr="00A86804">
        <w:rPr>
          <w:rFonts w:ascii="Arial" w:hAnsi="Arial" w:cs="Arial"/>
          <w:sz w:val="22"/>
          <w:szCs w:val="22"/>
        </w:rPr>
        <w:t xml:space="preserve"> or forbidden</w:t>
      </w:r>
      <w:r w:rsidR="003938FB" w:rsidRPr="00A86804">
        <w:rPr>
          <w:rFonts w:ascii="Arial" w:hAnsi="Arial" w:cs="Arial"/>
          <w:sz w:val="22"/>
          <w:szCs w:val="22"/>
        </w:rPr>
        <w:t>. These frameworks</w:t>
      </w:r>
      <w:r w:rsidRPr="00A86804">
        <w:rPr>
          <w:rFonts w:ascii="Arial" w:hAnsi="Arial" w:cs="Arial"/>
          <w:sz w:val="22"/>
          <w:szCs w:val="22"/>
        </w:rPr>
        <w:t xml:space="preserve"> and associated concerns</w:t>
      </w:r>
      <w:r w:rsidR="003938FB" w:rsidRPr="00A86804">
        <w:rPr>
          <w:rFonts w:ascii="Arial" w:hAnsi="Arial" w:cs="Arial"/>
          <w:sz w:val="22"/>
          <w:szCs w:val="22"/>
        </w:rPr>
        <w:t xml:space="preserve"> may become obsolete once ITU-R develops harmonized regulatory recommendations at WRC-27</w:t>
      </w:r>
      <w:r w:rsidR="00DE6AAD" w:rsidRPr="00A86804">
        <w:rPr>
          <w:rFonts w:ascii="Arial" w:hAnsi="Arial" w:cs="Arial"/>
          <w:sz w:val="22"/>
          <w:szCs w:val="22"/>
        </w:rPr>
        <w:t xml:space="preserve"> that every country and associated technical groups may be guided by.</w:t>
      </w:r>
    </w:p>
    <w:p w14:paraId="5C749006" w14:textId="7160A9E2" w:rsidR="003938FB" w:rsidRPr="00A86804" w:rsidRDefault="003938FB" w:rsidP="004B6765">
      <w:pPr>
        <w:jc w:val="both"/>
        <w:rPr>
          <w:rFonts w:ascii="Arial" w:hAnsi="Arial" w:cs="Arial"/>
          <w:b/>
          <w:bCs/>
          <w:sz w:val="22"/>
          <w:szCs w:val="22"/>
        </w:rPr>
      </w:pPr>
      <w:r w:rsidRPr="00A86804">
        <w:rPr>
          <w:rFonts w:ascii="Arial" w:hAnsi="Arial" w:cs="Arial"/>
          <w:b/>
          <w:bCs/>
          <w:sz w:val="22"/>
          <w:szCs w:val="22"/>
        </w:rPr>
        <w:t>2.</w:t>
      </w:r>
      <w:r w:rsidR="00DE6AAD" w:rsidRPr="00A86804">
        <w:rPr>
          <w:rFonts w:ascii="Arial" w:hAnsi="Arial" w:cs="Arial"/>
          <w:b/>
          <w:bCs/>
          <w:sz w:val="22"/>
          <w:szCs w:val="22"/>
        </w:rPr>
        <w:t>4</w:t>
      </w:r>
      <w:r w:rsidRPr="00A86804">
        <w:rPr>
          <w:rFonts w:ascii="Arial" w:hAnsi="Arial" w:cs="Arial"/>
          <w:b/>
          <w:bCs/>
          <w:sz w:val="22"/>
          <w:szCs w:val="22"/>
        </w:rPr>
        <w:t xml:space="preserve"> ITU</w:t>
      </w:r>
      <w:r w:rsidR="00853401" w:rsidRPr="00A86804">
        <w:rPr>
          <w:rFonts w:ascii="Arial" w:hAnsi="Arial" w:cs="Arial"/>
          <w:b/>
          <w:bCs/>
          <w:sz w:val="22"/>
          <w:szCs w:val="22"/>
        </w:rPr>
        <w:t xml:space="preserve"> and </w:t>
      </w:r>
      <w:r w:rsidRPr="00A86804">
        <w:rPr>
          <w:rFonts w:ascii="Arial" w:hAnsi="Arial" w:cs="Arial"/>
          <w:b/>
          <w:bCs/>
          <w:sz w:val="22"/>
          <w:szCs w:val="22"/>
        </w:rPr>
        <w:t>3GPP cooperation</w:t>
      </w:r>
    </w:p>
    <w:p w14:paraId="137A924A" w14:textId="4D5AF07C" w:rsidR="003938FB" w:rsidRPr="00A86804" w:rsidRDefault="00DE6AAD" w:rsidP="00717A4E">
      <w:pPr>
        <w:spacing w:line="240" w:lineRule="auto"/>
        <w:jc w:val="both"/>
        <w:rPr>
          <w:rFonts w:ascii="Arial" w:hAnsi="Arial" w:cs="Arial"/>
          <w:sz w:val="22"/>
          <w:szCs w:val="22"/>
        </w:rPr>
      </w:pPr>
      <w:r w:rsidRPr="00A86804">
        <w:rPr>
          <w:rFonts w:ascii="Arial" w:hAnsi="Arial" w:cs="Arial"/>
          <w:sz w:val="22"/>
          <w:szCs w:val="22"/>
        </w:rPr>
        <w:t xml:space="preserve">There is an </w:t>
      </w:r>
      <w:r w:rsidR="00B24424" w:rsidRPr="00A86804">
        <w:rPr>
          <w:rFonts w:ascii="Arial" w:hAnsi="Arial" w:cs="Arial"/>
          <w:sz w:val="22"/>
          <w:szCs w:val="22"/>
        </w:rPr>
        <w:t>existing</w:t>
      </w:r>
      <w:r w:rsidR="003938FB" w:rsidRPr="00A86804">
        <w:rPr>
          <w:rFonts w:ascii="Arial" w:hAnsi="Arial" w:cs="Arial"/>
          <w:sz w:val="22"/>
          <w:szCs w:val="22"/>
        </w:rPr>
        <w:t xml:space="preserve"> </w:t>
      </w:r>
      <w:r w:rsidRPr="00A86804">
        <w:rPr>
          <w:rFonts w:ascii="Arial" w:hAnsi="Arial" w:cs="Arial"/>
          <w:sz w:val="22"/>
          <w:szCs w:val="22"/>
        </w:rPr>
        <w:t xml:space="preserve">and productive </w:t>
      </w:r>
      <w:r w:rsidR="003938FB" w:rsidRPr="00A86804">
        <w:rPr>
          <w:rFonts w:ascii="Arial" w:hAnsi="Arial" w:cs="Arial"/>
          <w:sz w:val="22"/>
          <w:szCs w:val="22"/>
        </w:rPr>
        <w:t>coordination between ITU and 3GPP on IMT</w:t>
      </w:r>
      <w:r w:rsidRPr="00A86804">
        <w:rPr>
          <w:rFonts w:ascii="Arial" w:hAnsi="Arial" w:cs="Arial"/>
          <w:sz w:val="22"/>
          <w:szCs w:val="22"/>
        </w:rPr>
        <w:t xml:space="preserve"> development</w:t>
      </w:r>
      <w:r w:rsidR="003938FB" w:rsidRPr="00A86804">
        <w:rPr>
          <w:rFonts w:ascii="Arial" w:hAnsi="Arial" w:cs="Arial"/>
          <w:sz w:val="22"/>
          <w:szCs w:val="22"/>
        </w:rPr>
        <w:t>. Most recently, 3GPP Release 17 NR-NTN was formally accepted into the IMT-2020 family as the satellite component of IMT (see ITU-R M.2543 (202</w:t>
      </w:r>
      <w:r w:rsidR="00B24424" w:rsidRPr="00A86804">
        <w:rPr>
          <w:rFonts w:ascii="Arial" w:hAnsi="Arial" w:cs="Arial"/>
          <w:sz w:val="22"/>
          <w:szCs w:val="22"/>
        </w:rPr>
        <w:t>4</w:t>
      </w:r>
      <w:r w:rsidR="003938FB" w:rsidRPr="00A86804">
        <w:rPr>
          <w:rFonts w:ascii="Arial" w:hAnsi="Arial" w:cs="Arial"/>
          <w:sz w:val="22"/>
          <w:szCs w:val="22"/>
        </w:rPr>
        <w:t>). This precedent highlights the importance of ensuring that 3GPP work follows, and complements, ITU-R decisions.</w:t>
      </w:r>
      <w:r w:rsidRPr="00A86804">
        <w:rPr>
          <w:rFonts w:ascii="Arial" w:hAnsi="Arial" w:cs="Arial"/>
          <w:sz w:val="22"/>
          <w:szCs w:val="22"/>
        </w:rPr>
        <w:t xml:space="preserve"> Equally, Release 17 (NTN) </w:t>
      </w:r>
      <w:r w:rsidR="00C21592">
        <w:rPr>
          <w:rFonts w:ascii="Arial" w:hAnsi="Arial" w:cs="Arial"/>
          <w:sz w:val="22"/>
          <w:szCs w:val="22"/>
        </w:rPr>
        <w:t xml:space="preserve">and posterior standards have </w:t>
      </w:r>
      <w:r w:rsidR="00CE7B9D">
        <w:rPr>
          <w:rFonts w:ascii="Arial" w:hAnsi="Arial" w:cs="Arial"/>
          <w:sz w:val="22"/>
          <w:szCs w:val="22"/>
        </w:rPr>
        <w:t>been</w:t>
      </w:r>
      <w:r w:rsidR="00C21592">
        <w:rPr>
          <w:rFonts w:ascii="Arial" w:hAnsi="Arial" w:cs="Arial"/>
          <w:sz w:val="22"/>
          <w:szCs w:val="22"/>
        </w:rPr>
        <w:t xml:space="preserve"> </w:t>
      </w:r>
      <w:r w:rsidRPr="00A86804">
        <w:rPr>
          <w:rFonts w:ascii="Arial" w:hAnsi="Arial" w:cs="Arial"/>
          <w:sz w:val="22"/>
          <w:szCs w:val="22"/>
        </w:rPr>
        <w:t xml:space="preserve">developed </w:t>
      </w:r>
      <w:r w:rsidR="00453CAA" w:rsidRPr="00A86804">
        <w:rPr>
          <w:rFonts w:ascii="Arial" w:hAnsi="Arial" w:cs="Arial"/>
          <w:sz w:val="22"/>
          <w:szCs w:val="22"/>
        </w:rPr>
        <w:t>to leverage globally harmonized MSS allocation</w:t>
      </w:r>
      <w:r w:rsidR="00CE7B9D">
        <w:rPr>
          <w:rFonts w:ascii="Arial" w:hAnsi="Arial" w:cs="Arial"/>
          <w:sz w:val="22"/>
          <w:szCs w:val="22"/>
        </w:rPr>
        <w:t>s</w:t>
      </w:r>
      <w:r w:rsidR="00453CAA" w:rsidRPr="00A86804">
        <w:rPr>
          <w:rFonts w:ascii="Arial" w:hAnsi="Arial" w:cs="Arial"/>
          <w:sz w:val="22"/>
          <w:szCs w:val="22"/>
        </w:rPr>
        <w:t xml:space="preserve">. </w:t>
      </w:r>
    </w:p>
    <w:p w14:paraId="604ACBF7" w14:textId="62285521" w:rsidR="003938FB" w:rsidRPr="00A86804" w:rsidRDefault="003938FB" w:rsidP="004B6765">
      <w:pPr>
        <w:pStyle w:val="Heading1"/>
        <w:keepNext w:val="0"/>
        <w:keepLines w:val="0"/>
        <w:spacing w:before="600" w:after="160" w:line="360" w:lineRule="auto"/>
        <w:ind w:left="431" w:hanging="431"/>
        <w:contextualSpacing/>
        <w:jc w:val="both"/>
        <w:rPr>
          <w:rFonts w:ascii="Arial" w:hAnsi="Arial" w:cs="Arial"/>
          <w:color w:val="000000" w:themeColor="text1"/>
          <w:sz w:val="32"/>
          <w:szCs w:val="32"/>
        </w:rPr>
      </w:pPr>
      <w:r w:rsidRPr="00A86804">
        <w:rPr>
          <w:rFonts w:ascii="Arial" w:hAnsi="Arial" w:cs="Arial"/>
          <w:color w:val="000000" w:themeColor="text1"/>
          <w:sz w:val="32"/>
          <w:szCs w:val="32"/>
        </w:rPr>
        <w:t xml:space="preserve">3. </w:t>
      </w:r>
      <w:r w:rsidR="00453CAA" w:rsidRPr="00A86804">
        <w:rPr>
          <w:rFonts w:ascii="Arial" w:hAnsi="Arial" w:cs="Arial"/>
          <w:color w:val="000000" w:themeColor="text1"/>
          <w:sz w:val="32"/>
          <w:szCs w:val="32"/>
        </w:rPr>
        <w:t>Conclusion</w:t>
      </w:r>
      <w:r w:rsidR="00CE7B9D">
        <w:rPr>
          <w:rFonts w:ascii="Arial" w:hAnsi="Arial" w:cs="Arial"/>
          <w:color w:val="000000" w:themeColor="text1"/>
          <w:sz w:val="32"/>
          <w:szCs w:val="32"/>
        </w:rPr>
        <w:t xml:space="preserve"> and Observations</w:t>
      </w:r>
    </w:p>
    <w:p w14:paraId="60B4A6E2" w14:textId="6A11FD29" w:rsidR="0015543F" w:rsidRPr="00890330" w:rsidRDefault="0015543F" w:rsidP="00CE7B9D">
      <w:pPr>
        <w:spacing w:line="240" w:lineRule="auto"/>
        <w:jc w:val="both"/>
        <w:rPr>
          <w:rFonts w:ascii="Arial" w:hAnsi="Arial" w:cs="Arial"/>
          <w:sz w:val="22"/>
          <w:szCs w:val="22"/>
        </w:rPr>
      </w:pPr>
      <w:r w:rsidRPr="00453CAA">
        <w:rPr>
          <w:rFonts w:ascii="Arial" w:hAnsi="Arial" w:cs="Arial"/>
          <w:sz w:val="22"/>
          <w:szCs w:val="22"/>
        </w:rPr>
        <w:t xml:space="preserve">This contribution </w:t>
      </w:r>
      <w:r>
        <w:rPr>
          <w:rFonts w:ascii="Arial" w:hAnsi="Arial" w:cs="Arial"/>
          <w:sz w:val="22"/>
          <w:szCs w:val="22"/>
        </w:rPr>
        <w:t xml:space="preserve">is </w:t>
      </w:r>
      <w:r w:rsidRPr="00A86804">
        <w:rPr>
          <w:rFonts w:ascii="Arial" w:hAnsi="Arial" w:cs="Arial"/>
          <w:sz w:val="22"/>
          <w:szCs w:val="22"/>
        </w:rPr>
        <w:t xml:space="preserve">aimed to provide contextual </w:t>
      </w:r>
      <w:r w:rsidRPr="00453CAA">
        <w:rPr>
          <w:rFonts w:ascii="Arial" w:hAnsi="Arial" w:cs="Arial"/>
          <w:sz w:val="22"/>
          <w:szCs w:val="22"/>
        </w:rPr>
        <w:t>information to assist RAN in understanding the broader technical and regulatory context as work on this topic continues to evolve.</w:t>
      </w:r>
      <w:r>
        <w:rPr>
          <w:rFonts w:ascii="Arial" w:hAnsi="Arial" w:cs="Arial"/>
          <w:sz w:val="22"/>
          <w:szCs w:val="22"/>
        </w:rPr>
        <w:t xml:space="preserve"> The main points raised in the contribution are captured under the following observations:</w:t>
      </w:r>
    </w:p>
    <w:p w14:paraId="134162FF" w14:textId="77777777" w:rsidR="0015543F" w:rsidRDefault="0015543F" w:rsidP="00CE7B9D">
      <w:pPr>
        <w:spacing w:line="240" w:lineRule="auto"/>
        <w:jc w:val="both"/>
        <w:rPr>
          <w:rFonts w:ascii="Arial" w:hAnsi="Arial" w:cs="Arial"/>
          <w:b/>
          <w:bCs/>
          <w:sz w:val="22"/>
          <w:szCs w:val="22"/>
        </w:rPr>
      </w:pPr>
    </w:p>
    <w:p w14:paraId="4DDB3B73" w14:textId="34C89E2D" w:rsidR="00C21592" w:rsidRDefault="0015543F" w:rsidP="00890330">
      <w:pPr>
        <w:spacing w:line="240" w:lineRule="auto"/>
        <w:jc w:val="both"/>
        <w:rPr>
          <w:rFonts w:ascii="Arial" w:hAnsi="Arial" w:cs="Arial"/>
          <w:sz w:val="22"/>
          <w:szCs w:val="22"/>
        </w:rPr>
      </w:pPr>
      <w:r w:rsidRPr="00890330">
        <w:rPr>
          <w:rFonts w:ascii="Arial" w:hAnsi="Arial" w:cs="Arial"/>
          <w:b/>
          <w:bCs/>
          <w:sz w:val="22"/>
          <w:szCs w:val="22"/>
        </w:rPr>
        <w:t>Observation 1:</w:t>
      </w:r>
      <w:r>
        <w:rPr>
          <w:rFonts w:ascii="Arial" w:hAnsi="Arial" w:cs="Arial"/>
          <w:sz w:val="22"/>
          <w:szCs w:val="22"/>
        </w:rPr>
        <w:t xml:space="preserve"> </w:t>
      </w:r>
      <w:r w:rsidR="00453CAA" w:rsidRPr="00453CAA">
        <w:rPr>
          <w:rFonts w:ascii="Arial" w:hAnsi="Arial" w:cs="Arial"/>
          <w:sz w:val="22"/>
          <w:szCs w:val="22"/>
        </w:rPr>
        <w:t xml:space="preserve">Recent discussions in </w:t>
      </w:r>
      <w:r>
        <w:rPr>
          <w:rFonts w:ascii="Arial" w:hAnsi="Arial" w:cs="Arial"/>
          <w:sz w:val="22"/>
          <w:szCs w:val="22"/>
        </w:rPr>
        <w:t xml:space="preserve">3GPP </w:t>
      </w:r>
      <w:r w:rsidR="00453CAA" w:rsidRPr="00453CAA">
        <w:rPr>
          <w:rFonts w:ascii="Arial" w:hAnsi="Arial" w:cs="Arial"/>
          <w:sz w:val="22"/>
          <w:szCs w:val="22"/>
        </w:rPr>
        <w:t xml:space="preserve">RAN </w:t>
      </w:r>
      <w:r>
        <w:rPr>
          <w:rFonts w:ascii="Arial" w:hAnsi="Arial" w:cs="Arial"/>
          <w:sz w:val="22"/>
          <w:szCs w:val="22"/>
        </w:rPr>
        <w:t xml:space="preserve">TSG </w:t>
      </w:r>
      <w:r w:rsidR="00453CAA" w:rsidRPr="00453CAA">
        <w:rPr>
          <w:rFonts w:ascii="Arial" w:hAnsi="Arial" w:cs="Arial"/>
          <w:sz w:val="22"/>
          <w:szCs w:val="22"/>
        </w:rPr>
        <w:t xml:space="preserve">and the ongoing work in ITU-R under WRC-27 Agenda Item 1.13 show that NR-NTN use of </w:t>
      </w:r>
      <w:r w:rsidR="00CE7B9D">
        <w:rPr>
          <w:rFonts w:ascii="Arial" w:hAnsi="Arial" w:cs="Arial"/>
          <w:sz w:val="22"/>
          <w:szCs w:val="22"/>
        </w:rPr>
        <w:t>MS</w:t>
      </w:r>
      <w:r w:rsidR="00453CAA" w:rsidRPr="00453CAA">
        <w:rPr>
          <w:rFonts w:ascii="Arial" w:hAnsi="Arial" w:cs="Arial"/>
          <w:sz w:val="22"/>
          <w:szCs w:val="22"/>
        </w:rPr>
        <w:t xml:space="preserve"> bands intersects with several regulatory and technical considerations that are still under study internationally. </w:t>
      </w:r>
    </w:p>
    <w:p w14:paraId="2A326A57" w14:textId="64FDD298" w:rsidR="00453CAA" w:rsidRPr="00A86804" w:rsidRDefault="0015543F" w:rsidP="00890330">
      <w:pPr>
        <w:spacing w:line="240" w:lineRule="auto"/>
        <w:jc w:val="both"/>
        <w:rPr>
          <w:rFonts w:ascii="Arial" w:hAnsi="Arial" w:cs="Arial"/>
          <w:sz w:val="22"/>
          <w:szCs w:val="22"/>
        </w:rPr>
      </w:pPr>
      <w:r w:rsidRPr="00250341">
        <w:rPr>
          <w:rFonts w:ascii="Arial" w:hAnsi="Arial" w:cs="Arial"/>
          <w:b/>
          <w:bCs/>
          <w:sz w:val="22"/>
          <w:szCs w:val="22"/>
        </w:rPr>
        <w:t xml:space="preserve">Observation </w:t>
      </w:r>
      <w:r>
        <w:rPr>
          <w:rFonts w:ascii="Arial" w:hAnsi="Arial" w:cs="Arial"/>
          <w:b/>
          <w:bCs/>
          <w:sz w:val="22"/>
          <w:szCs w:val="22"/>
        </w:rPr>
        <w:t>2</w:t>
      </w:r>
      <w:r w:rsidRPr="00250341">
        <w:rPr>
          <w:rFonts w:ascii="Arial" w:hAnsi="Arial" w:cs="Arial"/>
          <w:b/>
          <w:bCs/>
          <w:sz w:val="22"/>
          <w:szCs w:val="22"/>
        </w:rPr>
        <w:t>:</w:t>
      </w:r>
      <w:r>
        <w:rPr>
          <w:rFonts w:ascii="Arial" w:hAnsi="Arial" w:cs="Arial"/>
          <w:sz w:val="22"/>
          <w:szCs w:val="22"/>
        </w:rPr>
        <w:t xml:space="preserve"> </w:t>
      </w:r>
      <w:r w:rsidR="00453CAA" w:rsidRPr="00453CAA">
        <w:rPr>
          <w:rFonts w:ascii="Arial" w:hAnsi="Arial" w:cs="Arial"/>
          <w:sz w:val="22"/>
          <w:szCs w:val="22"/>
        </w:rPr>
        <w:t>National regulatory frameworks enabling satellite or NTN operation in these bands vary significantly across administrations, with many relying on temporary, experimental or no-protection conditions</w:t>
      </w:r>
      <w:r w:rsidR="00C21592">
        <w:rPr>
          <w:rFonts w:ascii="Arial" w:hAnsi="Arial" w:cs="Arial"/>
          <w:sz w:val="22"/>
          <w:szCs w:val="22"/>
        </w:rPr>
        <w:t xml:space="preserve"> (limiting the services to be provided)</w:t>
      </w:r>
      <w:r w:rsidR="00453CAA" w:rsidRPr="00453CAA">
        <w:rPr>
          <w:rFonts w:ascii="Arial" w:hAnsi="Arial" w:cs="Arial"/>
          <w:sz w:val="22"/>
          <w:szCs w:val="22"/>
        </w:rPr>
        <w:t xml:space="preserve"> that may change following the completion of WRC-27 studies.</w:t>
      </w:r>
    </w:p>
    <w:p w14:paraId="57464308" w14:textId="0F68ED55" w:rsidR="00331FA4" w:rsidRPr="00A86804" w:rsidRDefault="0015543F" w:rsidP="00890330">
      <w:pPr>
        <w:spacing w:line="240" w:lineRule="auto"/>
        <w:jc w:val="both"/>
        <w:rPr>
          <w:rFonts w:ascii="Arial" w:hAnsi="Arial" w:cs="Arial"/>
          <w:sz w:val="22"/>
          <w:szCs w:val="22"/>
        </w:rPr>
      </w:pPr>
      <w:r w:rsidRPr="00250341">
        <w:rPr>
          <w:rFonts w:ascii="Arial" w:hAnsi="Arial" w:cs="Arial"/>
          <w:b/>
          <w:bCs/>
          <w:sz w:val="22"/>
          <w:szCs w:val="22"/>
        </w:rPr>
        <w:t xml:space="preserve">Observation </w:t>
      </w:r>
      <w:r>
        <w:rPr>
          <w:rFonts w:ascii="Arial" w:hAnsi="Arial" w:cs="Arial"/>
          <w:b/>
          <w:bCs/>
          <w:sz w:val="22"/>
          <w:szCs w:val="22"/>
        </w:rPr>
        <w:t>3</w:t>
      </w:r>
      <w:r w:rsidRPr="00250341">
        <w:rPr>
          <w:rFonts w:ascii="Arial" w:hAnsi="Arial" w:cs="Arial"/>
          <w:b/>
          <w:bCs/>
          <w:sz w:val="22"/>
          <w:szCs w:val="22"/>
        </w:rPr>
        <w:t>:</w:t>
      </w:r>
      <w:r>
        <w:rPr>
          <w:rFonts w:ascii="Arial" w:hAnsi="Arial" w:cs="Arial"/>
          <w:sz w:val="22"/>
          <w:szCs w:val="22"/>
        </w:rPr>
        <w:t xml:space="preserve"> </w:t>
      </w:r>
      <w:r w:rsidR="00331FA4" w:rsidRPr="00717A4E">
        <w:rPr>
          <w:rFonts w:ascii="Arial" w:hAnsi="Arial" w:cs="Arial"/>
          <w:sz w:val="22"/>
          <w:szCs w:val="22"/>
        </w:rPr>
        <w:t xml:space="preserve">The timing of related work has also been noted in </w:t>
      </w:r>
      <w:r>
        <w:rPr>
          <w:rFonts w:ascii="Arial" w:hAnsi="Arial" w:cs="Arial"/>
          <w:sz w:val="22"/>
          <w:szCs w:val="22"/>
        </w:rPr>
        <w:t xml:space="preserve">3GPP </w:t>
      </w:r>
      <w:r w:rsidR="00331FA4" w:rsidRPr="00717A4E">
        <w:rPr>
          <w:rFonts w:ascii="Arial" w:hAnsi="Arial" w:cs="Arial"/>
          <w:sz w:val="22"/>
          <w:szCs w:val="22"/>
        </w:rPr>
        <w:t xml:space="preserve">RAN </w:t>
      </w:r>
      <w:r>
        <w:rPr>
          <w:rFonts w:ascii="Arial" w:hAnsi="Arial" w:cs="Arial"/>
          <w:sz w:val="22"/>
          <w:szCs w:val="22"/>
        </w:rPr>
        <w:t xml:space="preserve">TSG </w:t>
      </w:r>
      <w:r w:rsidR="00331FA4" w:rsidRPr="00717A4E">
        <w:rPr>
          <w:rFonts w:ascii="Arial" w:hAnsi="Arial" w:cs="Arial"/>
          <w:sz w:val="22"/>
          <w:szCs w:val="22"/>
        </w:rPr>
        <w:t>discussions,</w:t>
      </w:r>
      <w:r w:rsidR="00331FA4" w:rsidRPr="00A86804">
        <w:rPr>
          <w:rFonts w:ascii="Arial" w:hAnsi="Arial" w:cs="Arial"/>
          <w:sz w:val="22"/>
          <w:szCs w:val="22"/>
        </w:rPr>
        <w:t xml:space="preserve"> given that the ITU-R study cycle under WRC-27 Agenda Item 1.13 is still in progress and is expected to clarify the regulatory framework for potential satellite use of </w:t>
      </w:r>
      <w:r>
        <w:rPr>
          <w:rFonts w:ascii="Arial" w:hAnsi="Arial" w:cs="Arial"/>
          <w:sz w:val="22"/>
          <w:szCs w:val="22"/>
        </w:rPr>
        <w:t>MS</w:t>
      </w:r>
      <w:r w:rsidR="00331FA4" w:rsidRPr="00A86804">
        <w:rPr>
          <w:rFonts w:ascii="Arial" w:hAnsi="Arial" w:cs="Arial"/>
          <w:sz w:val="22"/>
          <w:szCs w:val="22"/>
        </w:rPr>
        <w:t xml:space="preserve"> bands. </w:t>
      </w:r>
    </w:p>
    <w:p w14:paraId="6B2656FB" w14:textId="2A544385" w:rsidR="00453CAA" w:rsidRPr="00453CAA" w:rsidRDefault="0015543F" w:rsidP="00890330">
      <w:pPr>
        <w:spacing w:line="240" w:lineRule="auto"/>
        <w:jc w:val="both"/>
        <w:rPr>
          <w:rFonts w:ascii="Arial" w:hAnsi="Arial" w:cs="Arial"/>
          <w:sz w:val="22"/>
          <w:szCs w:val="22"/>
        </w:rPr>
      </w:pPr>
      <w:r w:rsidRPr="00250341">
        <w:rPr>
          <w:rFonts w:ascii="Arial" w:hAnsi="Arial" w:cs="Arial"/>
          <w:b/>
          <w:bCs/>
          <w:sz w:val="22"/>
          <w:szCs w:val="22"/>
        </w:rPr>
        <w:t xml:space="preserve">Observation </w:t>
      </w:r>
      <w:r>
        <w:rPr>
          <w:rFonts w:ascii="Arial" w:hAnsi="Arial" w:cs="Arial"/>
          <w:b/>
          <w:bCs/>
          <w:sz w:val="22"/>
          <w:szCs w:val="22"/>
        </w:rPr>
        <w:t xml:space="preserve">4: </w:t>
      </w:r>
      <w:r w:rsidR="00453CAA" w:rsidRPr="00453CAA">
        <w:rPr>
          <w:rFonts w:ascii="Arial" w:hAnsi="Arial" w:cs="Arial"/>
          <w:sz w:val="22"/>
          <w:szCs w:val="22"/>
        </w:rPr>
        <w:t>The following elements reflect the broader context observed today:</w:t>
      </w:r>
    </w:p>
    <w:p w14:paraId="38E3D10C" w14:textId="77777777" w:rsidR="00453CAA" w:rsidRPr="00453CAA" w:rsidRDefault="00453CAA" w:rsidP="00890330">
      <w:pPr>
        <w:numPr>
          <w:ilvl w:val="0"/>
          <w:numId w:val="5"/>
        </w:numPr>
        <w:spacing w:line="240" w:lineRule="auto"/>
        <w:jc w:val="both"/>
        <w:rPr>
          <w:rFonts w:ascii="Arial" w:hAnsi="Arial" w:cs="Arial"/>
          <w:sz w:val="22"/>
          <w:szCs w:val="22"/>
        </w:rPr>
      </w:pPr>
      <w:r w:rsidRPr="00453CAA">
        <w:rPr>
          <w:rFonts w:ascii="Arial" w:hAnsi="Arial" w:cs="Arial"/>
          <w:sz w:val="22"/>
          <w:szCs w:val="22"/>
          <w:u w:val="single"/>
        </w:rPr>
        <w:t>A detailed regulatory examination is currently underway in ITU-R</w:t>
      </w:r>
      <w:r w:rsidRPr="00453CAA">
        <w:rPr>
          <w:rFonts w:ascii="Arial" w:hAnsi="Arial" w:cs="Arial"/>
          <w:sz w:val="22"/>
          <w:szCs w:val="22"/>
        </w:rPr>
        <w:t>, through the study cycle associated with WRC-27 Agenda Item 1.13, which is assessing potential new or modified MSS allocations and the conditions for direct satellite-to-IMT operation in Mobile Service bands.</w:t>
      </w:r>
    </w:p>
    <w:p w14:paraId="16D78890" w14:textId="22DFF1A9" w:rsidR="00453CAA" w:rsidRPr="00453CAA" w:rsidRDefault="00453CAA" w:rsidP="00890330">
      <w:pPr>
        <w:numPr>
          <w:ilvl w:val="0"/>
          <w:numId w:val="5"/>
        </w:numPr>
        <w:spacing w:line="240" w:lineRule="auto"/>
        <w:jc w:val="both"/>
        <w:rPr>
          <w:rFonts w:ascii="Arial" w:hAnsi="Arial" w:cs="Arial"/>
          <w:sz w:val="22"/>
          <w:szCs w:val="22"/>
        </w:rPr>
      </w:pPr>
      <w:r w:rsidRPr="00A86804">
        <w:rPr>
          <w:rFonts w:ascii="Arial" w:hAnsi="Arial" w:cs="Arial"/>
          <w:sz w:val="22"/>
          <w:szCs w:val="22"/>
          <w:u w:val="single"/>
        </w:rPr>
        <w:lastRenderedPageBreak/>
        <w:t>Temporary n</w:t>
      </w:r>
      <w:r w:rsidRPr="00453CAA">
        <w:rPr>
          <w:rFonts w:ascii="Arial" w:hAnsi="Arial" w:cs="Arial"/>
          <w:sz w:val="22"/>
          <w:szCs w:val="22"/>
          <w:u w:val="single"/>
        </w:rPr>
        <w:t>ational frameworks governing satellite use of these bands remain heterogeneous</w:t>
      </w:r>
      <w:r w:rsidRPr="00453CAA">
        <w:rPr>
          <w:rFonts w:ascii="Arial" w:hAnsi="Arial" w:cs="Arial"/>
          <w:sz w:val="22"/>
          <w:szCs w:val="22"/>
        </w:rPr>
        <w:t>, with differing authorisation conditions, allocation structures and protection requirements, and may evolve as ITU-R studies progress.</w:t>
      </w:r>
    </w:p>
    <w:p w14:paraId="659EAF90" w14:textId="77777777" w:rsidR="00453CAA" w:rsidRPr="00453CAA" w:rsidRDefault="00453CAA" w:rsidP="00890330">
      <w:pPr>
        <w:numPr>
          <w:ilvl w:val="0"/>
          <w:numId w:val="5"/>
        </w:numPr>
        <w:spacing w:line="240" w:lineRule="auto"/>
        <w:jc w:val="both"/>
        <w:rPr>
          <w:rFonts w:ascii="Arial" w:hAnsi="Arial" w:cs="Arial"/>
          <w:sz w:val="22"/>
          <w:szCs w:val="22"/>
        </w:rPr>
      </w:pPr>
      <w:r w:rsidRPr="00453CAA">
        <w:rPr>
          <w:rFonts w:ascii="Arial" w:hAnsi="Arial" w:cs="Arial"/>
          <w:sz w:val="22"/>
          <w:szCs w:val="22"/>
          <w:u w:val="single"/>
        </w:rPr>
        <w:t>Coexistence considerations involving MSS, IMT and NTN systems are being analysed in ITU-R</w:t>
      </w:r>
      <w:r w:rsidRPr="00453CAA">
        <w:rPr>
          <w:rFonts w:ascii="Arial" w:hAnsi="Arial" w:cs="Arial"/>
          <w:sz w:val="22"/>
          <w:szCs w:val="22"/>
        </w:rPr>
        <w:t>, including directionality, adjacent-band protection and the relationship between existing MSS allocations and future NTN configurations.</w:t>
      </w:r>
    </w:p>
    <w:p w14:paraId="13C20A72" w14:textId="77777777" w:rsidR="00453CAA" w:rsidRPr="00453CAA" w:rsidRDefault="00453CAA" w:rsidP="00890330">
      <w:pPr>
        <w:numPr>
          <w:ilvl w:val="0"/>
          <w:numId w:val="5"/>
        </w:numPr>
        <w:spacing w:line="240" w:lineRule="auto"/>
        <w:jc w:val="both"/>
        <w:rPr>
          <w:rFonts w:ascii="Arial" w:hAnsi="Arial" w:cs="Arial"/>
          <w:sz w:val="22"/>
          <w:szCs w:val="22"/>
        </w:rPr>
      </w:pPr>
      <w:r w:rsidRPr="00453CAA">
        <w:rPr>
          <w:rFonts w:ascii="Arial" w:hAnsi="Arial" w:cs="Arial"/>
          <w:sz w:val="22"/>
          <w:szCs w:val="22"/>
          <w:u w:val="single"/>
        </w:rPr>
        <w:t xml:space="preserve">Different uplink and downlink arrangements across ITU regions and administrations </w:t>
      </w:r>
      <w:r w:rsidRPr="00453CAA">
        <w:rPr>
          <w:rFonts w:ascii="Arial" w:hAnsi="Arial" w:cs="Arial"/>
          <w:sz w:val="22"/>
          <w:szCs w:val="22"/>
        </w:rPr>
        <w:t>have been highlighted in RAN, together with the relevance of ensuring compatibility with existing MSS deployments in adjacent territories.</w:t>
      </w:r>
    </w:p>
    <w:p w14:paraId="161776CE" w14:textId="77777777" w:rsidR="00453CAA" w:rsidRPr="00453CAA" w:rsidRDefault="00453CAA" w:rsidP="00890330">
      <w:pPr>
        <w:numPr>
          <w:ilvl w:val="0"/>
          <w:numId w:val="5"/>
        </w:numPr>
        <w:spacing w:line="240" w:lineRule="auto"/>
        <w:jc w:val="both"/>
        <w:rPr>
          <w:rFonts w:ascii="Arial" w:hAnsi="Arial" w:cs="Arial"/>
          <w:sz w:val="22"/>
          <w:szCs w:val="22"/>
        </w:rPr>
      </w:pPr>
      <w:r w:rsidRPr="00453CAA">
        <w:rPr>
          <w:rFonts w:ascii="Arial" w:hAnsi="Arial" w:cs="Arial"/>
          <w:sz w:val="22"/>
          <w:szCs w:val="22"/>
          <w:u w:val="single"/>
        </w:rPr>
        <w:t>The long-standing cooperation between 3GPP and ITU-R</w:t>
      </w:r>
      <w:r w:rsidRPr="00453CAA">
        <w:rPr>
          <w:rFonts w:ascii="Arial" w:hAnsi="Arial" w:cs="Arial"/>
          <w:sz w:val="22"/>
          <w:szCs w:val="22"/>
        </w:rPr>
        <w:t xml:space="preserve"> has been noted, particularly in relation to NR-NTN’s integration into the IMT-2020 ecosystem and the role of ITU-R M.1036 in defining harmonised band arrangements.</w:t>
      </w:r>
    </w:p>
    <w:p w14:paraId="1D3589F1" w14:textId="77777777" w:rsidR="00453CAA" w:rsidRPr="00453CAA" w:rsidRDefault="00453CAA" w:rsidP="00890330">
      <w:pPr>
        <w:numPr>
          <w:ilvl w:val="0"/>
          <w:numId w:val="5"/>
        </w:numPr>
        <w:spacing w:line="240" w:lineRule="auto"/>
        <w:jc w:val="both"/>
        <w:rPr>
          <w:rFonts w:ascii="Arial" w:hAnsi="Arial" w:cs="Arial"/>
          <w:sz w:val="22"/>
          <w:szCs w:val="22"/>
        </w:rPr>
      </w:pPr>
      <w:r w:rsidRPr="00453CAA">
        <w:rPr>
          <w:rFonts w:ascii="Arial" w:hAnsi="Arial" w:cs="Arial"/>
          <w:sz w:val="22"/>
          <w:szCs w:val="22"/>
          <w:u w:val="single"/>
        </w:rPr>
        <w:t>The cross-border nature of satellite systems</w:t>
      </w:r>
      <w:r w:rsidRPr="00453CAA">
        <w:rPr>
          <w:rFonts w:ascii="Arial" w:hAnsi="Arial" w:cs="Arial"/>
          <w:sz w:val="22"/>
          <w:szCs w:val="22"/>
        </w:rPr>
        <w:t xml:space="preserve"> and the emerging global market for NTN and D2D services have also been referenced as contextual factors relevant to ongoing international studies.</w:t>
      </w:r>
    </w:p>
    <w:p w14:paraId="416A0C76" w14:textId="77777777" w:rsidR="0015543F" w:rsidRDefault="0015543F" w:rsidP="00CE7B9D">
      <w:pPr>
        <w:spacing w:line="240" w:lineRule="auto"/>
        <w:jc w:val="both"/>
        <w:rPr>
          <w:rFonts w:ascii="Arial" w:hAnsi="Arial" w:cs="Arial"/>
          <w:sz w:val="22"/>
          <w:szCs w:val="22"/>
        </w:rPr>
      </w:pPr>
    </w:p>
    <w:p w14:paraId="7DFDF1AB" w14:textId="77777777" w:rsidR="00A86804" w:rsidRPr="00A86804" w:rsidRDefault="00A86804" w:rsidP="004B6765">
      <w:pPr>
        <w:jc w:val="both"/>
        <w:rPr>
          <w:rFonts w:ascii="Arial" w:hAnsi="Arial" w:cs="Arial"/>
          <w:sz w:val="22"/>
          <w:szCs w:val="22"/>
        </w:rPr>
      </w:pPr>
    </w:p>
    <w:p w14:paraId="3FCF9A3E" w14:textId="74A96FA6" w:rsidR="003938FB" w:rsidRPr="00A86804" w:rsidRDefault="00453CAA" w:rsidP="004B6765">
      <w:pPr>
        <w:jc w:val="both"/>
        <w:rPr>
          <w:rFonts w:ascii="Arial" w:hAnsi="Arial" w:cs="Arial"/>
          <w:color w:val="000000" w:themeColor="text1"/>
          <w:sz w:val="32"/>
          <w:szCs w:val="32"/>
        </w:rPr>
      </w:pPr>
      <w:r w:rsidRPr="00A86804">
        <w:rPr>
          <w:rFonts w:ascii="Arial" w:hAnsi="Arial" w:cs="Arial"/>
          <w:color w:val="000000" w:themeColor="text1"/>
          <w:sz w:val="32"/>
          <w:szCs w:val="32"/>
        </w:rPr>
        <w:t>4</w:t>
      </w:r>
      <w:r w:rsidR="003938FB" w:rsidRPr="00A86804">
        <w:rPr>
          <w:rFonts w:ascii="Arial" w:hAnsi="Arial" w:cs="Arial"/>
          <w:color w:val="000000" w:themeColor="text1"/>
          <w:sz w:val="32"/>
          <w:szCs w:val="32"/>
        </w:rPr>
        <w:t>. References</w:t>
      </w:r>
    </w:p>
    <w:p w14:paraId="2149EB57" w14:textId="5397A75B" w:rsidR="00AC1397" w:rsidRPr="00A86804" w:rsidRDefault="003938FB" w:rsidP="004B6765">
      <w:pPr>
        <w:rPr>
          <w:rFonts w:ascii="Arial" w:hAnsi="Arial" w:cs="Arial"/>
        </w:rPr>
      </w:pPr>
      <w:r w:rsidRPr="00A86804">
        <w:rPr>
          <w:rFonts w:ascii="Arial" w:hAnsi="Arial" w:cs="Arial"/>
        </w:rPr>
        <w:t>[1] ITU-R Resolution 245 (WRC-23): “Studies on the use of Mobile Service allocations for the satellite component of IMT (Agenda Item 1.13, WRC-27)”</w:t>
      </w:r>
      <w:r w:rsidRPr="00A86804">
        <w:rPr>
          <w:rFonts w:ascii="Arial" w:hAnsi="Arial" w:cs="Arial"/>
        </w:rPr>
        <w:br/>
        <w:t>[2] ITU Radio Regulations, RR No. 4.4</w:t>
      </w:r>
      <w:r w:rsidRPr="00A86804">
        <w:rPr>
          <w:rFonts w:ascii="Arial" w:hAnsi="Arial" w:cs="Arial"/>
        </w:rPr>
        <w:br/>
        <w:t>[3] ITU-R Resolution 253 (WRC-19, revised WRC-23): “Satellite radio interface(s) for IMT-2020”</w:t>
      </w:r>
      <w:r w:rsidRPr="00A86804">
        <w:rPr>
          <w:rFonts w:ascii="Arial" w:hAnsi="Arial" w:cs="Arial"/>
        </w:rPr>
        <w:br/>
        <w:t>[4] ITU-R Report M.2543 (2023): Outcome of evaluation and decision of the IMT-2020 satellite process</w:t>
      </w:r>
    </w:p>
    <w:p w14:paraId="16C0EFA1" w14:textId="4D61F532" w:rsidR="00AC1397" w:rsidRPr="00A86804" w:rsidRDefault="00B24424" w:rsidP="004B6765">
      <w:pPr>
        <w:rPr>
          <w:rFonts w:ascii="Arial" w:hAnsi="Arial" w:cs="Arial"/>
          <w:lang w:val="en-US"/>
        </w:rPr>
      </w:pPr>
      <w:r w:rsidRPr="00A86804">
        <w:rPr>
          <w:rFonts w:ascii="Arial" w:hAnsi="Arial" w:cs="Arial"/>
          <w:lang w:val="en-US"/>
        </w:rPr>
        <w:t xml:space="preserve">[5] </w:t>
      </w:r>
      <w:r w:rsidR="00AC1397" w:rsidRPr="00A86804">
        <w:rPr>
          <w:rFonts w:ascii="Arial" w:hAnsi="Arial" w:cs="Arial"/>
          <w:lang w:val="en-US"/>
        </w:rPr>
        <w:t>ITU Radio Regulations, Articles 5, 9, 11 and 21</w:t>
      </w:r>
    </w:p>
    <w:p w14:paraId="580AC36B" w14:textId="088C9BFF" w:rsidR="00B24424" w:rsidRPr="00A86804" w:rsidRDefault="00AC1397" w:rsidP="004B6765">
      <w:pPr>
        <w:rPr>
          <w:rFonts w:ascii="Arial" w:hAnsi="Arial" w:cs="Arial"/>
          <w:lang w:val="en-US"/>
        </w:rPr>
      </w:pPr>
      <w:r w:rsidRPr="00A86804">
        <w:rPr>
          <w:rFonts w:ascii="Arial" w:hAnsi="Arial" w:cs="Arial"/>
          <w:lang w:val="en-US"/>
        </w:rPr>
        <w:t xml:space="preserve">[6] </w:t>
      </w:r>
      <w:r w:rsidR="00B24424" w:rsidRPr="00A86804">
        <w:rPr>
          <w:rFonts w:ascii="Arial" w:hAnsi="Arial" w:cs="Arial"/>
          <w:lang w:val="en-US"/>
        </w:rPr>
        <w:t xml:space="preserve">3GPP RP-251803 “NR-NTN support in terrestrial spectrum bands” Telstra, SpaceX, T-Mobile, KDDI </w:t>
      </w:r>
    </w:p>
    <w:p w14:paraId="2FF7C540" w14:textId="424F82F0" w:rsidR="00B24424" w:rsidRPr="00A86804" w:rsidRDefault="00B24424" w:rsidP="004B6765">
      <w:pPr>
        <w:rPr>
          <w:rFonts w:ascii="Arial" w:hAnsi="Arial" w:cs="Arial"/>
          <w:lang w:val="en-US"/>
        </w:rPr>
      </w:pPr>
      <w:r w:rsidRPr="00A86804">
        <w:rPr>
          <w:rFonts w:ascii="Arial" w:hAnsi="Arial" w:cs="Arial"/>
          <w:lang w:val="en-US"/>
        </w:rPr>
        <w:t>[</w:t>
      </w:r>
      <w:r w:rsidR="00AC1397" w:rsidRPr="00A86804">
        <w:rPr>
          <w:rFonts w:ascii="Arial" w:hAnsi="Arial" w:cs="Arial"/>
          <w:lang w:val="en-US"/>
        </w:rPr>
        <w:t>7</w:t>
      </w:r>
      <w:r w:rsidRPr="00A86804">
        <w:rPr>
          <w:rFonts w:ascii="Arial" w:hAnsi="Arial" w:cs="Arial"/>
          <w:lang w:val="en-US"/>
        </w:rPr>
        <w:t>] RAN#108 Meeting Report, 13th June 2025</w:t>
      </w:r>
      <w:r w:rsidR="00CE7B9D">
        <w:rPr>
          <w:rFonts w:ascii="Arial" w:hAnsi="Arial" w:cs="Arial"/>
          <w:lang w:val="en-US"/>
        </w:rPr>
        <w:t>, RP-</w:t>
      </w:r>
      <w:r w:rsidRPr="00A86804">
        <w:rPr>
          <w:rFonts w:ascii="Arial" w:hAnsi="Arial" w:cs="Arial"/>
          <w:lang w:val="en-US"/>
        </w:rPr>
        <w:t>250613, TSG-RAN Chair</w:t>
      </w:r>
    </w:p>
    <w:p w14:paraId="16158B4F" w14:textId="07B98CA5" w:rsidR="00453CAA" w:rsidRPr="004B6765" w:rsidRDefault="00453CAA" w:rsidP="004B6765">
      <w:pPr>
        <w:rPr>
          <w:rFonts w:ascii="Arial" w:hAnsi="Arial" w:cs="Arial"/>
          <w:lang w:val="en-US"/>
        </w:rPr>
      </w:pPr>
      <w:r w:rsidRPr="00A86804">
        <w:rPr>
          <w:rFonts w:ascii="Arial" w:hAnsi="Arial" w:cs="Arial"/>
          <w:lang w:val="en-US"/>
        </w:rPr>
        <w:t xml:space="preserve">[8] </w:t>
      </w:r>
      <w:r w:rsidR="00C21592">
        <w:rPr>
          <w:rFonts w:ascii="Arial" w:hAnsi="Arial" w:cs="Arial"/>
        </w:rPr>
        <w:t>WP4C Chair´s Report (Fall 2025)</w:t>
      </w:r>
    </w:p>
    <w:p w14:paraId="78CFD427" w14:textId="77777777" w:rsidR="00B24424" w:rsidRPr="00BD50EF" w:rsidRDefault="00B24424" w:rsidP="004B6765">
      <w:pPr>
        <w:jc w:val="both"/>
        <w:rPr>
          <w:rFonts w:ascii="Arial" w:hAnsi="Arial" w:cs="Arial"/>
          <w:sz w:val="22"/>
          <w:szCs w:val="22"/>
        </w:rPr>
      </w:pPr>
    </w:p>
    <w:p w14:paraId="7E10CD95" w14:textId="77777777" w:rsidR="003938FB" w:rsidRPr="00BD50EF" w:rsidRDefault="003938FB" w:rsidP="004B6765">
      <w:pPr>
        <w:jc w:val="both"/>
        <w:rPr>
          <w:rFonts w:ascii="Arial" w:hAnsi="Arial" w:cs="Arial"/>
          <w:sz w:val="22"/>
          <w:szCs w:val="22"/>
        </w:rPr>
      </w:pPr>
    </w:p>
    <w:sectPr w:rsidR="003938FB" w:rsidRPr="00BD50EF">
      <w:footerReference w:type="even"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79E8" w14:textId="77777777" w:rsidR="00924DAF" w:rsidRDefault="00924DAF" w:rsidP="003938FB">
      <w:pPr>
        <w:spacing w:after="0" w:line="240" w:lineRule="auto"/>
      </w:pPr>
      <w:r>
        <w:separator/>
      </w:r>
    </w:p>
  </w:endnote>
  <w:endnote w:type="continuationSeparator" w:id="0">
    <w:p w14:paraId="470FF09D" w14:textId="77777777" w:rsidR="00924DAF" w:rsidRDefault="00924DAF" w:rsidP="00393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23712795"/>
      <w:docPartObj>
        <w:docPartGallery w:val="Page Numbers (Bottom of Page)"/>
        <w:docPartUnique/>
      </w:docPartObj>
    </w:sdtPr>
    <w:sdtEndPr>
      <w:rPr>
        <w:rStyle w:val="PageNumber"/>
      </w:rPr>
    </w:sdtEndPr>
    <w:sdtContent>
      <w:p w14:paraId="0DE093A7" w14:textId="71D8679E" w:rsidR="003938FB" w:rsidRDefault="003938FB" w:rsidP="005975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8FB51B" w14:textId="77777777" w:rsidR="003938FB" w:rsidRDefault="003938FB" w:rsidP="003938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46213733"/>
      <w:docPartObj>
        <w:docPartGallery w:val="Page Numbers (Bottom of Page)"/>
        <w:docPartUnique/>
      </w:docPartObj>
    </w:sdtPr>
    <w:sdtEndPr>
      <w:rPr>
        <w:rStyle w:val="PageNumber"/>
      </w:rPr>
    </w:sdtEndPr>
    <w:sdtContent>
      <w:p w14:paraId="545EDCF8" w14:textId="15797F67" w:rsidR="003938FB" w:rsidRDefault="003938FB" w:rsidP="005975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6F9063E" w14:textId="77777777" w:rsidR="003938FB" w:rsidRDefault="003938FB" w:rsidP="003938F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F6E1" w14:textId="77777777" w:rsidR="00924DAF" w:rsidRDefault="00924DAF" w:rsidP="003938FB">
      <w:pPr>
        <w:spacing w:after="0" w:line="240" w:lineRule="auto"/>
      </w:pPr>
      <w:r>
        <w:separator/>
      </w:r>
    </w:p>
  </w:footnote>
  <w:footnote w:type="continuationSeparator" w:id="0">
    <w:p w14:paraId="792CF9F0" w14:textId="77777777" w:rsidR="00924DAF" w:rsidRDefault="00924DAF" w:rsidP="00393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502"/>
    <w:multiLevelType w:val="hybridMultilevel"/>
    <w:tmpl w:val="4E7A204A"/>
    <w:lvl w:ilvl="0" w:tplc="56CA13EA">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7B7B25"/>
    <w:multiLevelType w:val="multilevel"/>
    <w:tmpl w:val="08D8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5C2F3C"/>
    <w:multiLevelType w:val="hybridMultilevel"/>
    <w:tmpl w:val="80F4A97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38565F5"/>
    <w:multiLevelType w:val="multilevel"/>
    <w:tmpl w:val="6CA2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632E49"/>
    <w:multiLevelType w:val="multilevel"/>
    <w:tmpl w:val="B37E9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771A21"/>
    <w:multiLevelType w:val="multilevel"/>
    <w:tmpl w:val="22EAD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8FB"/>
    <w:rsid w:val="0015543F"/>
    <w:rsid w:val="00163A32"/>
    <w:rsid w:val="00184227"/>
    <w:rsid w:val="002A6F07"/>
    <w:rsid w:val="002E343F"/>
    <w:rsid w:val="00331FA4"/>
    <w:rsid w:val="003548EC"/>
    <w:rsid w:val="003938FB"/>
    <w:rsid w:val="003F62E6"/>
    <w:rsid w:val="00411460"/>
    <w:rsid w:val="00453CAA"/>
    <w:rsid w:val="004945E5"/>
    <w:rsid w:val="0049540B"/>
    <w:rsid w:val="004B6765"/>
    <w:rsid w:val="004D3F6C"/>
    <w:rsid w:val="005A16B6"/>
    <w:rsid w:val="00650594"/>
    <w:rsid w:val="0070387E"/>
    <w:rsid w:val="00717A4E"/>
    <w:rsid w:val="007E0BD7"/>
    <w:rsid w:val="00807774"/>
    <w:rsid w:val="00853401"/>
    <w:rsid w:val="00890330"/>
    <w:rsid w:val="00924DAF"/>
    <w:rsid w:val="00A86804"/>
    <w:rsid w:val="00AC1397"/>
    <w:rsid w:val="00B127CD"/>
    <w:rsid w:val="00B24424"/>
    <w:rsid w:val="00B65642"/>
    <w:rsid w:val="00BD45DF"/>
    <w:rsid w:val="00BD50EF"/>
    <w:rsid w:val="00C21592"/>
    <w:rsid w:val="00C25171"/>
    <w:rsid w:val="00CE7B9D"/>
    <w:rsid w:val="00DE6AAD"/>
    <w:rsid w:val="00E07625"/>
    <w:rsid w:val="00E33F64"/>
    <w:rsid w:val="00E55DCA"/>
    <w:rsid w:val="00E7592A"/>
    <w:rsid w:val="00EA4596"/>
    <w:rsid w:val="00F268A6"/>
    <w:rsid w:val="00F50346"/>
    <w:rsid w:val="00F84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2CA4F"/>
  <w15:chartTrackingRefBased/>
  <w15:docId w15:val="{9808E314-E086-6D4F-8E35-A3AE0A57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938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38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38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38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38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38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38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38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38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h11 Char1,h12 Char1,h13 Char1,h14 Char1,h15 Char1,h16 Char1,app heading 1 Char1,l1 Char1,Memo Heading 1 Char1,Heading 1_a Char1,heading 1 Char1,h17 Char1,h111 Char1,h121 Char1,h131 Char1,h141 Char1"/>
    <w:basedOn w:val="DefaultParagraphFont"/>
    <w:link w:val="Heading1"/>
    <w:uiPriority w:val="9"/>
    <w:rsid w:val="003938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38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38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38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38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38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38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38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38FB"/>
    <w:rPr>
      <w:rFonts w:eastAsiaTheme="majorEastAsia" w:cstheme="majorBidi"/>
      <w:color w:val="272727" w:themeColor="text1" w:themeTint="D8"/>
    </w:rPr>
  </w:style>
  <w:style w:type="paragraph" w:styleId="Title">
    <w:name w:val="Title"/>
    <w:basedOn w:val="Normal"/>
    <w:next w:val="Normal"/>
    <w:link w:val="TitleChar"/>
    <w:uiPriority w:val="10"/>
    <w:qFormat/>
    <w:rsid w:val="003938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8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8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8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38FB"/>
    <w:pPr>
      <w:spacing w:before="160"/>
      <w:jc w:val="center"/>
    </w:pPr>
    <w:rPr>
      <w:i/>
      <w:iCs/>
      <w:color w:val="404040" w:themeColor="text1" w:themeTint="BF"/>
    </w:rPr>
  </w:style>
  <w:style w:type="character" w:customStyle="1" w:styleId="QuoteChar">
    <w:name w:val="Quote Char"/>
    <w:basedOn w:val="DefaultParagraphFont"/>
    <w:link w:val="Quote"/>
    <w:uiPriority w:val="29"/>
    <w:rsid w:val="003938FB"/>
    <w:rPr>
      <w:i/>
      <w:iCs/>
      <w:color w:val="404040" w:themeColor="text1" w:themeTint="BF"/>
    </w:rPr>
  </w:style>
  <w:style w:type="paragraph" w:styleId="ListParagraph">
    <w:name w:val="List Paragraph"/>
    <w:basedOn w:val="Normal"/>
    <w:uiPriority w:val="34"/>
    <w:qFormat/>
    <w:rsid w:val="003938FB"/>
    <w:pPr>
      <w:ind w:left="720"/>
      <w:contextualSpacing/>
    </w:pPr>
  </w:style>
  <w:style w:type="character" w:styleId="IntenseEmphasis">
    <w:name w:val="Intense Emphasis"/>
    <w:basedOn w:val="DefaultParagraphFont"/>
    <w:uiPriority w:val="21"/>
    <w:qFormat/>
    <w:rsid w:val="003938FB"/>
    <w:rPr>
      <w:i/>
      <w:iCs/>
      <w:color w:val="0F4761" w:themeColor="accent1" w:themeShade="BF"/>
    </w:rPr>
  </w:style>
  <w:style w:type="paragraph" w:styleId="IntenseQuote">
    <w:name w:val="Intense Quote"/>
    <w:basedOn w:val="Normal"/>
    <w:next w:val="Normal"/>
    <w:link w:val="IntenseQuoteChar"/>
    <w:uiPriority w:val="30"/>
    <w:qFormat/>
    <w:rsid w:val="003938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38FB"/>
    <w:rPr>
      <w:i/>
      <w:iCs/>
      <w:color w:val="0F4761" w:themeColor="accent1" w:themeShade="BF"/>
    </w:rPr>
  </w:style>
  <w:style w:type="character" w:styleId="IntenseReference">
    <w:name w:val="Intense Reference"/>
    <w:basedOn w:val="DefaultParagraphFont"/>
    <w:uiPriority w:val="32"/>
    <w:qFormat/>
    <w:rsid w:val="003938FB"/>
    <w:rPr>
      <w:b/>
      <w:bCs/>
      <w:smallCaps/>
      <w:color w:val="0F4761" w:themeColor="accent1" w:themeShade="BF"/>
      <w:spacing w:val="5"/>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uiPriority w:val="9"/>
    <w:rsid w:val="003938FB"/>
    <w:rPr>
      <w:rFonts w:asciiTheme="majorHAnsi" w:eastAsiaTheme="majorEastAsia" w:hAnsiTheme="majorHAnsi" w:cstheme="majorBidi"/>
      <w:b/>
      <w:bCs/>
      <w:iCs/>
      <w:sz w:val="32"/>
      <w:szCs w:val="32"/>
    </w:rPr>
  </w:style>
  <w:style w:type="paragraph" w:styleId="NormalWeb">
    <w:name w:val="Normal (Web)"/>
    <w:basedOn w:val="Normal"/>
    <w:uiPriority w:val="99"/>
    <w:unhideWhenUsed/>
    <w:rsid w:val="003938FB"/>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Header">
    <w:name w:val="header"/>
    <w:basedOn w:val="Normal"/>
    <w:link w:val="HeaderChar"/>
    <w:uiPriority w:val="99"/>
    <w:unhideWhenUsed/>
    <w:rsid w:val="003938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38FB"/>
  </w:style>
  <w:style w:type="paragraph" w:styleId="Footer">
    <w:name w:val="footer"/>
    <w:basedOn w:val="Normal"/>
    <w:link w:val="FooterChar"/>
    <w:uiPriority w:val="99"/>
    <w:unhideWhenUsed/>
    <w:rsid w:val="003938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38FB"/>
  </w:style>
  <w:style w:type="character" w:styleId="PageNumber">
    <w:name w:val="page number"/>
    <w:basedOn w:val="DefaultParagraphFont"/>
    <w:uiPriority w:val="99"/>
    <w:semiHidden/>
    <w:unhideWhenUsed/>
    <w:rsid w:val="003938FB"/>
  </w:style>
  <w:style w:type="character" w:styleId="Strong">
    <w:name w:val="Strong"/>
    <w:basedOn w:val="DefaultParagraphFont"/>
    <w:uiPriority w:val="22"/>
    <w:qFormat/>
    <w:rsid w:val="0070387E"/>
    <w:rPr>
      <w:b/>
      <w:bCs/>
    </w:rPr>
  </w:style>
  <w:style w:type="character" w:customStyle="1" w:styleId="apple-converted-space">
    <w:name w:val="apple-converted-space"/>
    <w:basedOn w:val="DefaultParagraphFont"/>
    <w:rsid w:val="0070387E"/>
  </w:style>
  <w:style w:type="character" w:styleId="Emphasis">
    <w:name w:val="Emphasis"/>
    <w:basedOn w:val="DefaultParagraphFont"/>
    <w:uiPriority w:val="20"/>
    <w:qFormat/>
    <w:rsid w:val="0070387E"/>
    <w:rPr>
      <w:i/>
      <w:iCs/>
    </w:rPr>
  </w:style>
  <w:style w:type="paragraph" w:styleId="Revision">
    <w:name w:val="Revision"/>
    <w:hidden/>
    <w:uiPriority w:val="99"/>
    <w:semiHidden/>
    <w:rsid w:val="0070387E"/>
    <w:pPr>
      <w:spacing w:after="0" w:line="240" w:lineRule="auto"/>
    </w:pPr>
  </w:style>
  <w:style w:type="character" w:styleId="CommentReference">
    <w:name w:val="annotation reference"/>
    <w:basedOn w:val="DefaultParagraphFont"/>
    <w:uiPriority w:val="99"/>
    <w:semiHidden/>
    <w:unhideWhenUsed/>
    <w:rsid w:val="0070387E"/>
    <w:rPr>
      <w:sz w:val="16"/>
      <w:szCs w:val="16"/>
    </w:rPr>
  </w:style>
  <w:style w:type="paragraph" w:styleId="CommentText">
    <w:name w:val="annotation text"/>
    <w:basedOn w:val="Normal"/>
    <w:link w:val="CommentTextChar"/>
    <w:uiPriority w:val="99"/>
    <w:semiHidden/>
    <w:unhideWhenUsed/>
    <w:rsid w:val="0070387E"/>
    <w:pPr>
      <w:spacing w:line="240" w:lineRule="auto"/>
    </w:pPr>
    <w:rPr>
      <w:sz w:val="20"/>
      <w:szCs w:val="20"/>
    </w:rPr>
  </w:style>
  <w:style w:type="character" w:customStyle="1" w:styleId="CommentTextChar">
    <w:name w:val="Comment Text Char"/>
    <w:basedOn w:val="DefaultParagraphFont"/>
    <w:link w:val="CommentText"/>
    <w:uiPriority w:val="99"/>
    <w:semiHidden/>
    <w:rsid w:val="0070387E"/>
    <w:rPr>
      <w:sz w:val="20"/>
      <w:szCs w:val="20"/>
    </w:rPr>
  </w:style>
  <w:style w:type="paragraph" w:styleId="CommentSubject">
    <w:name w:val="annotation subject"/>
    <w:basedOn w:val="CommentText"/>
    <w:next w:val="CommentText"/>
    <w:link w:val="CommentSubjectChar"/>
    <w:uiPriority w:val="99"/>
    <w:semiHidden/>
    <w:unhideWhenUsed/>
    <w:rsid w:val="0070387E"/>
    <w:rPr>
      <w:b/>
      <w:bCs/>
    </w:rPr>
  </w:style>
  <w:style w:type="character" w:customStyle="1" w:styleId="CommentSubjectChar">
    <w:name w:val="Comment Subject Char"/>
    <w:basedOn w:val="CommentTextChar"/>
    <w:link w:val="CommentSubject"/>
    <w:uiPriority w:val="99"/>
    <w:semiHidden/>
    <w:rsid w:val="0070387E"/>
    <w:rPr>
      <w:b/>
      <w:bCs/>
      <w:sz w:val="20"/>
      <w:szCs w:val="20"/>
    </w:rPr>
  </w:style>
  <w:style w:type="character" w:styleId="Hyperlink">
    <w:name w:val="Hyperlink"/>
    <w:basedOn w:val="DefaultParagraphFont"/>
    <w:uiPriority w:val="99"/>
    <w:unhideWhenUsed/>
    <w:rsid w:val="00331FA4"/>
    <w:rPr>
      <w:color w:val="467886" w:themeColor="hyperlink"/>
      <w:u w:val="single"/>
    </w:rPr>
  </w:style>
  <w:style w:type="character" w:styleId="UnresolvedMention">
    <w:name w:val="Unresolved Mention"/>
    <w:basedOn w:val="DefaultParagraphFont"/>
    <w:uiPriority w:val="99"/>
    <w:semiHidden/>
    <w:unhideWhenUsed/>
    <w:rsid w:val="00331FA4"/>
    <w:rPr>
      <w:color w:val="605E5C"/>
      <w:shd w:val="clear" w:color="auto" w:fill="E1DFDD"/>
    </w:rPr>
  </w:style>
  <w:style w:type="paragraph" w:customStyle="1" w:styleId="Tabletext">
    <w:name w:val="Table_text"/>
    <w:basedOn w:val="Normal"/>
    <w:link w:val="TabletextChar"/>
    <w:qFormat/>
    <w:rsid w:val="00A868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heme="minorEastAsia" w:hAnsi="Times New Roman" w:cs="Times New Roman"/>
      <w:kern w:val="0"/>
      <w:sz w:val="20"/>
      <w:szCs w:val="20"/>
      <w14:ligatures w14:val="none"/>
    </w:rPr>
  </w:style>
  <w:style w:type="paragraph" w:customStyle="1" w:styleId="TableNo">
    <w:name w:val="Table_No"/>
    <w:basedOn w:val="Normal"/>
    <w:next w:val="Normal"/>
    <w:link w:val="TableNo0"/>
    <w:qFormat/>
    <w:rsid w:val="00A8680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14:ligatures w14:val="none"/>
    </w:rPr>
  </w:style>
  <w:style w:type="paragraph" w:customStyle="1" w:styleId="Tabletitle">
    <w:name w:val="Table_title"/>
    <w:basedOn w:val="Normal"/>
    <w:next w:val="Tabletext"/>
    <w:link w:val="TabletitleChar"/>
    <w:qFormat/>
    <w:rsid w:val="00A8680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14:ligatures w14:val="none"/>
    </w:rPr>
  </w:style>
  <w:style w:type="table" w:styleId="TableGrid">
    <w:name w:val="Table Grid"/>
    <w:basedOn w:val="TableNormal"/>
    <w:uiPriority w:val="39"/>
    <w:qFormat/>
    <w:rsid w:val="00A86804"/>
    <w:pPr>
      <w:spacing w:after="0" w:line="240" w:lineRule="auto"/>
    </w:pPr>
    <w:rPr>
      <w:rFonts w:ascii="Calibri" w:eastAsia="SimSun" w:hAnsi="Calibri" w:cs="Calibri"/>
      <w:kern w:val="0"/>
      <w:sz w:val="20"/>
      <w:szCs w:val="20"/>
      <w:lang w:val="fr-CH"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A86804"/>
    <w:rPr>
      <w:rFonts w:ascii="Times New Roman" w:eastAsiaTheme="minorEastAsia" w:hAnsi="Times New Roman" w:cs="Times New Roman"/>
      <w:kern w:val="0"/>
      <w:sz w:val="20"/>
      <w:szCs w:val="20"/>
      <w14:ligatures w14:val="none"/>
    </w:rPr>
  </w:style>
  <w:style w:type="character" w:customStyle="1" w:styleId="TabletitleChar">
    <w:name w:val="Table_title Char"/>
    <w:link w:val="Tabletitle"/>
    <w:qFormat/>
    <w:locked/>
    <w:rsid w:val="00A86804"/>
    <w:rPr>
      <w:rFonts w:ascii="Times New Roman Bold" w:eastAsiaTheme="minorEastAsia" w:hAnsi="Times New Roman Bold" w:cs="Times New Roman"/>
      <w:b/>
      <w:kern w:val="0"/>
      <w:sz w:val="20"/>
      <w:szCs w:val="20"/>
      <w14:ligatures w14:val="none"/>
    </w:rPr>
  </w:style>
  <w:style w:type="character" w:customStyle="1" w:styleId="TableNo0">
    <w:name w:val="Table_No Знак"/>
    <w:link w:val="TableNo"/>
    <w:qFormat/>
    <w:locked/>
    <w:rsid w:val="00A86804"/>
    <w:rPr>
      <w:rFonts w:ascii="Times New Roman" w:eastAsiaTheme="minorEastAsia" w:hAnsi="Times New Roman" w:cs="Times New Roman"/>
      <w:caps/>
      <w:kern w:val="0"/>
      <w:sz w:val="20"/>
      <w:szCs w:val="20"/>
      <w14:ligatures w14:val="none"/>
    </w:rPr>
  </w:style>
  <w:style w:type="character" w:styleId="FollowedHyperlink">
    <w:name w:val="FollowedHyperlink"/>
    <w:basedOn w:val="DefaultParagraphFont"/>
    <w:uiPriority w:val="99"/>
    <w:semiHidden/>
    <w:unhideWhenUsed/>
    <w:rsid w:val="00A868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18228">
      <w:bodyDiv w:val="1"/>
      <w:marLeft w:val="0"/>
      <w:marRight w:val="0"/>
      <w:marTop w:val="0"/>
      <w:marBottom w:val="0"/>
      <w:divBdr>
        <w:top w:val="none" w:sz="0" w:space="0" w:color="auto"/>
        <w:left w:val="none" w:sz="0" w:space="0" w:color="auto"/>
        <w:bottom w:val="none" w:sz="0" w:space="0" w:color="auto"/>
        <w:right w:val="none" w:sz="0" w:space="0" w:color="auto"/>
      </w:divBdr>
    </w:div>
    <w:div w:id="609897761">
      <w:bodyDiv w:val="1"/>
      <w:marLeft w:val="0"/>
      <w:marRight w:val="0"/>
      <w:marTop w:val="0"/>
      <w:marBottom w:val="0"/>
      <w:divBdr>
        <w:top w:val="none" w:sz="0" w:space="0" w:color="auto"/>
        <w:left w:val="none" w:sz="0" w:space="0" w:color="auto"/>
        <w:bottom w:val="none" w:sz="0" w:space="0" w:color="auto"/>
        <w:right w:val="none" w:sz="0" w:space="0" w:color="auto"/>
      </w:divBdr>
    </w:div>
    <w:div w:id="872771354">
      <w:bodyDiv w:val="1"/>
      <w:marLeft w:val="0"/>
      <w:marRight w:val="0"/>
      <w:marTop w:val="0"/>
      <w:marBottom w:val="0"/>
      <w:divBdr>
        <w:top w:val="none" w:sz="0" w:space="0" w:color="auto"/>
        <w:left w:val="none" w:sz="0" w:space="0" w:color="auto"/>
        <w:bottom w:val="none" w:sz="0" w:space="0" w:color="auto"/>
        <w:right w:val="none" w:sz="0" w:space="0" w:color="auto"/>
      </w:divBdr>
    </w:div>
    <w:div w:id="1052999370">
      <w:bodyDiv w:val="1"/>
      <w:marLeft w:val="0"/>
      <w:marRight w:val="0"/>
      <w:marTop w:val="0"/>
      <w:marBottom w:val="0"/>
      <w:divBdr>
        <w:top w:val="none" w:sz="0" w:space="0" w:color="auto"/>
        <w:left w:val="none" w:sz="0" w:space="0" w:color="auto"/>
        <w:bottom w:val="none" w:sz="0" w:space="0" w:color="auto"/>
        <w:right w:val="none" w:sz="0" w:space="0" w:color="auto"/>
      </w:divBdr>
    </w:div>
    <w:div w:id="1890149052">
      <w:bodyDiv w:val="1"/>
      <w:marLeft w:val="0"/>
      <w:marRight w:val="0"/>
      <w:marTop w:val="0"/>
      <w:marBottom w:val="0"/>
      <w:divBdr>
        <w:top w:val="none" w:sz="0" w:space="0" w:color="auto"/>
        <w:left w:val="none" w:sz="0" w:space="0" w:color="auto"/>
        <w:bottom w:val="none" w:sz="0" w:space="0" w:color="auto"/>
        <w:right w:val="none" w:sz="0" w:space="0" w:color="auto"/>
      </w:divBdr>
    </w:div>
    <w:div w:id="198608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2626</Words>
  <Characters>14447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Sateliot</dc:creator>
  <cp:keywords/>
  <dc:description/>
  <cp:lastModifiedBy>Sateliot</cp:lastModifiedBy>
  <cp:revision>3</cp:revision>
  <dcterms:created xsi:type="dcterms:W3CDTF">2025-12-01T16:15:00Z</dcterms:created>
  <dcterms:modified xsi:type="dcterms:W3CDTF">2025-12-01T16:16:00Z</dcterms:modified>
</cp:coreProperties>
</file>